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media/image4.wmf" ContentType="image/x-wmf"/>
  <Override PartName="/word/media/image5.wmf" ContentType="image/x-wmf"/>
  <Override PartName="/word/media/image1.wmf" ContentType="image/x-wmf"/>
  <Override PartName="/word/media/image2.wmf" ContentType="image/x-wmf"/>
  <Override PartName="/word/media/image3.wmf" ContentType="image/x-wmf"/>
  <Override PartName="/word/header9.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settings.xml" ContentType="application/vnd.openxmlformats-officedocument.wordprocessingml.settings+xml"/>
  <Override PartName="/word/footer11.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footnotes.xml" ContentType="application/vnd.openxmlformats-officedocument.wordprocessingml.footnotes+xml"/>
  <Override PartName="/word/header11.xml" ContentType="application/vnd.openxmlformats-officedocument.wordprocessingml.header+xml"/>
  <Override PartName="/word/footer1.xml" ContentType="application/vnd.openxmlformats-officedocument.wordprocessingml.footer+xml"/>
  <Override PartName="/word/header10.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oter7.xml" ContentType="application/vnd.openxmlformats-officedocument.wordprocessingml.footer+xml"/>
  <Override PartName="/word/header6.xml" ContentType="application/vnd.openxmlformats-officedocument.wordprocessingml.header+xml"/>
  <Override PartName="/word/_rels/document.xml.rels" ContentType="application/vnd.openxmlformats-package.relationships+xml"/>
  <Override PartName="/word/footer2.xml" ContentType="application/vnd.openxmlformats-officedocument.wordprocessingml.footer+xml"/>
  <Override PartName="/word/header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5998"/>
        <w:gridCol w:w="442"/>
        <w:gridCol w:w="1199"/>
        <w:gridCol w:w="445"/>
        <w:gridCol w:w="1553"/>
      </w:tblGrid>
      <w:tr>
        <w:trPr>
          <w:trHeight w:val="327" w:hRule="atLeast"/>
        </w:trPr>
        <w:tc>
          <w:tcPr>
            <w:tcW w:w="5998" w:type="dxa"/>
            <w:vMerge w:val="restart"/>
            <w:tcBorders/>
          </w:tcPr>
          <w:p>
            <w:pPr>
              <w:pStyle w:val="Normal"/>
              <w:widowControl w:val="false"/>
              <w:rPr>
                <w:sz w:val="24"/>
                <w:szCs w:val="24"/>
              </w:rPr>
            </w:pPr>
            <w:r>
              <w:rPr>
                <w:sz w:val="24"/>
                <w:szCs w:val="24"/>
              </w:rPr>
            </w:r>
          </w:p>
        </w:tc>
        <w:tc>
          <w:tcPr>
            <w:tcW w:w="3639" w:type="dxa"/>
            <w:gridSpan w:val="4"/>
            <w:tcBorders/>
          </w:tcPr>
          <w:p>
            <w:pPr>
              <w:pStyle w:val="Normal"/>
              <w:widowControl w:val="false"/>
              <w:spacing w:before="480" w:after="120"/>
              <w:rPr>
                <w:sz w:val="24"/>
                <w:szCs w:val="24"/>
              </w:rPr>
            </w:pPr>
            <w:r>
              <w:rPr>
                <w:sz w:val="24"/>
                <w:szCs w:val="24"/>
              </w:rPr>
              <w:t>УТВЕРЖДЕНО</w:t>
            </w:r>
          </w:p>
        </w:tc>
      </w:tr>
      <w:tr>
        <w:trPr>
          <w:trHeight w:val="304" w:hRule="atLeast"/>
        </w:trPr>
        <w:tc>
          <w:tcPr>
            <w:tcW w:w="5998" w:type="dxa"/>
            <w:vMerge w:val="continue"/>
            <w:tcBorders/>
          </w:tcPr>
          <w:p>
            <w:pPr>
              <w:pStyle w:val="Normal"/>
              <w:widowControl w:val="false"/>
              <w:rPr>
                <w:sz w:val="24"/>
                <w:szCs w:val="24"/>
              </w:rPr>
            </w:pPr>
            <w:r>
              <w:rPr>
                <w:sz w:val="24"/>
                <w:szCs w:val="24"/>
              </w:rPr>
            </w:r>
          </w:p>
        </w:tc>
        <w:tc>
          <w:tcPr>
            <w:tcW w:w="3639" w:type="dxa"/>
            <w:gridSpan w:val="4"/>
            <w:tcBorders/>
            <w:vAlign w:val="bottom"/>
          </w:tcPr>
          <w:p>
            <w:pPr>
              <w:pStyle w:val="Normal"/>
              <w:widowControl w:val="false"/>
              <w:rPr>
                <w:sz w:val="24"/>
                <w:szCs w:val="24"/>
              </w:rPr>
            </w:pPr>
            <w:r>
              <w:rPr>
                <w:sz w:val="24"/>
                <w:szCs w:val="24"/>
              </w:rPr>
              <w:t xml:space="preserve">приказом </w:t>
              <w:br/>
              <w:t>АНО ДПО «Техническая академия Росатома»</w:t>
            </w:r>
          </w:p>
        </w:tc>
      </w:tr>
      <w:tr>
        <w:trPr>
          <w:trHeight w:val="326" w:hRule="atLeast"/>
        </w:trPr>
        <w:tc>
          <w:tcPr>
            <w:tcW w:w="5998" w:type="dxa"/>
            <w:vMerge w:val="continue"/>
            <w:tcBorders/>
          </w:tcPr>
          <w:p>
            <w:pPr>
              <w:pStyle w:val="Normal"/>
              <w:widowControl w:val="false"/>
              <w:rPr>
                <w:sz w:val="24"/>
                <w:szCs w:val="24"/>
              </w:rPr>
            </w:pPr>
            <w:r>
              <w:rPr>
                <w:sz w:val="24"/>
                <w:szCs w:val="24"/>
              </w:rPr>
            </w:r>
          </w:p>
        </w:tc>
        <w:tc>
          <w:tcPr>
            <w:tcW w:w="442" w:type="dxa"/>
            <w:tcBorders/>
            <w:vAlign w:val="bottom"/>
          </w:tcPr>
          <w:p>
            <w:pPr>
              <w:pStyle w:val="Normal"/>
              <w:widowControl w:val="false"/>
              <w:rPr>
                <w:sz w:val="24"/>
                <w:szCs w:val="24"/>
              </w:rPr>
            </w:pPr>
            <w:r>
              <w:rPr>
                <w:sz w:val="24"/>
                <w:szCs w:val="24"/>
              </w:rPr>
              <w:t xml:space="preserve">от </w:t>
            </w:r>
          </w:p>
        </w:tc>
        <w:tc>
          <w:tcPr>
            <w:tcW w:w="1199" w:type="dxa"/>
            <w:tcBorders/>
            <w:vAlign w:val="bottom"/>
          </w:tcPr>
          <w:p>
            <w:pPr>
              <w:pStyle w:val="Normal"/>
              <w:widowControl w:val="false"/>
              <w:ind w:left="-103" w:hanging="0"/>
              <w:rPr>
                <w:sz w:val="24"/>
                <w:szCs w:val="24"/>
              </w:rPr>
            </w:pPr>
            <w:r>
              <w:rPr>
                <w:sz w:val="24"/>
                <w:szCs w:val="24"/>
              </w:rPr>
              <w:t>14.11.</w:t>
            </w:r>
            <w:bookmarkStart w:id="0" w:name="_GoBack"/>
            <w:bookmarkEnd w:id="0"/>
            <w:r>
              <w:rPr>
                <w:sz w:val="24"/>
                <w:szCs w:val="24"/>
              </w:rPr>
              <w:t>2023</w:t>
            </w:r>
          </w:p>
        </w:tc>
        <w:tc>
          <w:tcPr>
            <w:tcW w:w="445" w:type="dxa"/>
            <w:tcBorders/>
            <w:vAlign w:val="bottom"/>
          </w:tcPr>
          <w:p>
            <w:pPr>
              <w:pStyle w:val="Normal"/>
              <w:widowControl w:val="false"/>
              <w:rPr>
                <w:sz w:val="24"/>
                <w:szCs w:val="24"/>
              </w:rPr>
            </w:pPr>
            <w:r>
              <w:rPr>
                <w:sz w:val="24"/>
                <w:szCs w:val="24"/>
              </w:rPr>
              <w:t>№</w:t>
            </w:r>
          </w:p>
        </w:tc>
        <w:tc>
          <w:tcPr>
            <w:tcW w:w="1553" w:type="dxa"/>
            <w:tcBorders/>
            <w:vAlign w:val="bottom"/>
          </w:tcPr>
          <w:p>
            <w:pPr>
              <w:pStyle w:val="Normal"/>
              <w:widowControl w:val="false"/>
              <w:ind w:left="-111" w:right="-112" w:hanging="0"/>
              <w:rPr>
                <w:sz w:val="24"/>
                <w:szCs w:val="24"/>
              </w:rPr>
            </w:pPr>
            <w:r>
              <w:rPr>
                <w:sz w:val="24"/>
                <w:szCs w:val="24"/>
              </w:rPr>
              <w:t>268/01/3838-П</w:t>
            </w:r>
          </w:p>
        </w:tc>
      </w:tr>
    </w:tbl>
    <w:p>
      <w:pPr>
        <w:pStyle w:val="Normal"/>
        <w:spacing w:lineRule="auto" w:line="360" w:before="1440" w:after="600"/>
        <w:jc w:val="center"/>
        <w:rPr>
          <w:color w:val="000000"/>
        </w:rPr>
      </w:pPr>
      <w:r>
        <w:rPr>
          <w:b/>
          <w:color w:val="000000"/>
          <w:sz w:val="36"/>
          <w:szCs w:val="36"/>
        </w:rPr>
        <w:t>ПОЛОЖЕНИЕ</w:t>
      </w:r>
      <w:r>
        <w:rPr>
          <w:b/>
          <w:caps/>
          <w:color w:val="000000"/>
          <w:sz w:val="36"/>
          <w:szCs w:val="36"/>
        </w:rPr>
        <w:br/>
      </w:r>
      <w:r>
        <w:rPr>
          <w:b/>
          <w:color w:val="000000"/>
          <w:sz w:val="32"/>
          <w:szCs w:val="36"/>
        </w:rPr>
        <w:t>об обеспечении защиты персональных данных при осуществлении их обработки</w:t>
      </w:r>
    </w:p>
    <w:p>
      <w:pPr>
        <w:pStyle w:val="Normal"/>
        <w:jc w:val="center"/>
        <w:rPr>
          <w:color w:val="000000"/>
        </w:rPr>
      </w:pPr>
      <w:r>
        <w:rPr>
          <w:color w:val="000000"/>
          <w:szCs w:val="28"/>
        </w:rPr>
        <w:t>ПЛ 015-2023</w:t>
      </w:r>
      <w:bookmarkStart w:id="1" w:name="OLE_LINK1"/>
      <w:bookmarkStart w:id="2" w:name="OLE_LINK2"/>
      <w:bookmarkEnd w:id="1"/>
      <w:bookmarkEnd w:id="2"/>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8" w:right="851" w:gutter="0" w:header="1134" w:top="3119" w:footer="567" w:bottom="1134"/>
          <w:pgNumType w:fmt="upperRoman"/>
          <w:formProt w:val="false"/>
          <w:textDirection w:val="lrTb"/>
          <w:docGrid w:type="default" w:linePitch="100" w:charSpace="0"/>
        </w:sectPr>
        <w:pStyle w:val="Normal"/>
        <w:spacing w:before="600" w:after="0"/>
        <w:jc w:val="center"/>
        <w:rPr>
          <w:color w:val="000000"/>
        </w:rPr>
      </w:pPr>
      <w:r>
        <w:rPr>
          <w:caps/>
          <w:color w:val="000000"/>
          <w:szCs w:val="28"/>
        </w:rPr>
        <w:t>р</w:t>
      </w:r>
      <w:r>
        <w:rPr>
          <w:color w:val="000000"/>
          <w:szCs w:val="28"/>
        </w:rPr>
        <w:t>едакция 2</w:t>
      </w:r>
    </w:p>
    <w:p>
      <w:pPr>
        <w:pStyle w:val="Normal"/>
        <w:spacing w:before="240" w:after="0"/>
        <w:jc w:val="center"/>
        <w:rPr>
          <w:b/>
          <w:b/>
          <w:bCs/>
          <w:caps/>
          <w:color w:val="000000"/>
          <w:szCs w:val="28"/>
        </w:rPr>
      </w:pPr>
      <w:r>
        <w:rPr>
          <w:b/>
          <w:bCs/>
          <w:caps/>
          <w:color w:val="000000"/>
          <w:szCs w:val="28"/>
        </w:rPr>
        <w:t>Лист утверждения и согласования</w:t>
      </w:r>
    </w:p>
    <w:p>
      <w:pPr>
        <w:pStyle w:val="Normal"/>
        <w:spacing w:before="0" w:after="360"/>
        <w:jc w:val="center"/>
        <w:rPr/>
      </w:pPr>
      <w:r>
        <w:rPr/>
        <w:t>(Согласовано в ЕОСДО)</w:t>
      </w:r>
    </w:p>
    <w:tbl>
      <w:tblPr>
        <w:tblW w:w="5000" w:type="pct"/>
        <w:jc w:val="center"/>
        <w:tblInd w:w="0" w:type="dxa"/>
        <w:tblLayout w:type="fixed"/>
        <w:tblCellMar>
          <w:top w:w="0" w:type="dxa"/>
          <w:left w:w="108" w:type="dxa"/>
          <w:bottom w:w="0" w:type="dxa"/>
          <w:right w:w="108" w:type="dxa"/>
        </w:tblCellMar>
        <w:tblLook w:val="0000" w:noVBand="0" w:noHBand="0" w:lastColumn="0" w:firstColumn="0" w:lastRow="0" w:firstRow="0"/>
      </w:tblPr>
      <w:tblGrid>
        <w:gridCol w:w="2069"/>
        <w:gridCol w:w="4667"/>
        <w:gridCol w:w="2901"/>
      </w:tblGrid>
      <w:tr>
        <w:trPr>
          <w:trHeight w:val="925" w:hRule="atLeas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aps/>
                <w:color w:val="000000"/>
                <w:sz w:val="24"/>
              </w:rPr>
            </w:pPr>
            <w:r>
              <w:rPr>
                <w:b/>
                <w:caps/>
                <w:color w:val="000000"/>
                <w:sz w:val="24"/>
              </w:rPr>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b/>
                <w:caps/>
                <w:color w:val="000000"/>
                <w:sz w:val="24"/>
              </w:rPr>
              <w:t xml:space="preserve">Должность, </w:t>
              <w:br/>
              <w:t>подразделение</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b/>
                <w:caps/>
                <w:color w:val="000000"/>
                <w:sz w:val="24"/>
              </w:rPr>
              <w:t>Фамилия</w:t>
            </w:r>
          </w:p>
        </w:tc>
      </w:tr>
      <w:tr>
        <w:trPr>
          <w:trHeight w:val="454"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Разработал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Ведущий юрисконсульт</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Гарабаева Д.К.</w:t>
            </w:r>
          </w:p>
        </w:tc>
      </w:tr>
      <w:tr>
        <w:trPr>
          <w:trHeight w:val="567"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Директор по правовым вопросам</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Поливода Б.И.</w:t>
            </w:r>
          </w:p>
        </w:tc>
      </w:tr>
      <w:tr>
        <w:trPr>
          <w:trHeight w:val="567"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 w:val="24"/>
              </w:rPr>
              <w:t>Заместитель руководителя аппарата ректора</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Бажина Н.П.</w:t>
            </w:r>
          </w:p>
        </w:tc>
      </w:tr>
      <w:tr>
        <w:trPr>
          <w:trHeight w:val="454"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Начальник  отдела</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Янович Ю.М.</w:t>
            </w:r>
          </w:p>
        </w:tc>
      </w:tr>
      <w:tr>
        <w:trPr>
          <w:trHeight w:val="567"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 w:val="24"/>
              </w:rPr>
              <w:t>Управляющий корпоративной гостиничной сетью</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Каверина А.А.</w:t>
            </w:r>
          </w:p>
        </w:tc>
      </w:tr>
      <w:tr>
        <w:trPr>
          <w:trHeight w:val="567"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Руководитель аппарата ректора</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Бурлов С.В.</w:t>
            </w:r>
          </w:p>
        </w:tc>
      </w:tr>
      <w:tr>
        <w:trPr>
          <w:trHeight w:val="567"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Руководитель управления договорной деятельности</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Гераськина П.И.</w:t>
            </w:r>
          </w:p>
        </w:tc>
      </w:tr>
      <w:tr>
        <w:trPr>
          <w:trHeight w:val="454"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Главный бухгалтер</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Пупова О.В.</w:t>
            </w:r>
          </w:p>
        </w:tc>
      </w:tr>
      <w:tr>
        <w:trPr>
          <w:trHeight w:val="817"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Директор международного центра подготовки персонала атомных станций</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Полев Е.И.</w:t>
            </w:r>
          </w:p>
        </w:tc>
      </w:tr>
      <w:tr>
        <w:trPr>
          <w:trHeight w:val="817"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Директор центрального института повышения квалификации</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Симонов Д.П.</w:t>
            </w:r>
          </w:p>
        </w:tc>
      </w:tr>
      <w:tr>
        <w:trPr>
          <w:trHeight w:val="601"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Директор по информационным технологиям</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Бурин Е.В.</w:t>
            </w:r>
          </w:p>
        </w:tc>
      </w:tr>
      <w:tr>
        <w:trPr>
          <w:trHeight w:val="454"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Директор по качеству</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Домнена С.Ю.</w:t>
            </w:r>
          </w:p>
        </w:tc>
      </w:tr>
      <w:tr>
        <w:trPr>
          <w:trHeight w:val="454"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Директор по персоналу</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Сивохина Н.Ю.</w:t>
            </w:r>
          </w:p>
        </w:tc>
      </w:tr>
      <w:tr>
        <w:trPr>
          <w:trHeight w:val="454"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Финансовый директор</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Трофимова О.А.</w:t>
            </w:r>
          </w:p>
        </w:tc>
      </w:tr>
      <w:tr>
        <w:trPr>
          <w:trHeight w:val="567"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 w:val="24"/>
              </w:rPr>
              <w:t>Директор департамента отраслевого обучения</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Бологов Е.П.</w:t>
            </w:r>
          </w:p>
        </w:tc>
      </w:tr>
      <w:tr>
        <w:trPr>
          <w:trHeight w:val="454"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Проректор по безопасности</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Овчинников Р.И.</w:t>
            </w:r>
          </w:p>
        </w:tc>
      </w:tr>
      <w:tr>
        <w:trPr>
          <w:trHeight w:val="831"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Проректор по производственно-техническому обеспечению</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Высочин А.И.</w:t>
            </w:r>
          </w:p>
        </w:tc>
      </w:tr>
      <w:tr>
        <w:trPr>
          <w:trHeight w:val="567"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Согласовал</w:t>
            </w:r>
          </w:p>
        </w:tc>
        <w:tc>
          <w:tcPr>
            <w:tcW w:w="466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 w:val="24"/>
              </w:rPr>
              <w:t>Первый проректор по основной деятельности</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Аспидов В.В.</w:t>
            </w:r>
          </w:p>
        </w:tc>
      </w:tr>
      <w:tr>
        <w:trPr>
          <w:trHeight w:val="454" w:hRule="exact"/>
        </w:trPr>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Утвердил</w:t>
            </w:r>
          </w:p>
        </w:tc>
        <w:tc>
          <w:tcPr>
            <w:tcW w:w="4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Ректор</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rPr>
            </w:pPr>
            <w:r>
              <w:rPr>
                <w:color w:val="000000"/>
                <w:sz w:val="24"/>
              </w:rPr>
              <w:t>Селезнёв Ю.Н.</w:t>
            </w:r>
          </w:p>
        </w:tc>
      </w:tr>
    </w:tbl>
    <w:p>
      <w:pPr>
        <w:pStyle w:val="Normal"/>
        <w:spacing w:before="0" w:after="240"/>
        <w:jc w:val="center"/>
        <w:rPr>
          <w:rFonts w:eastAsia="" w:eastAsiaTheme="minorEastAsia"/>
          <w:sz w:val="22"/>
          <w:szCs w:val="22"/>
        </w:rPr>
      </w:pPr>
      <w:r>
        <w:rPr>
          <w:rFonts w:eastAsia="" w:eastAsiaTheme="minorEastAsia"/>
          <w:sz w:val="22"/>
          <w:szCs w:val="22"/>
        </w:rPr>
      </w:r>
      <w:r>
        <w:br w:type="page"/>
      </w:r>
    </w:p>
    <w:p>
      <w:pPr>
        <w:pStyle w:val="Normal"/>
        <w:spacing w:before="120" w:after="0"/>
        <w:jc w:val="center"/>
        <w:rPr>
          <w:b/>
          <w:b/>
        </w:rPr>
      </w:pPr>
      <w:bookmarkStart w:id="3" w:name="_Toc66168537"/>
      <w:bookmarkStart w:id="4" w:name="_Toc64970677"/>
      <w:bookmarkStart w:id="5" w:name="_Toc64695459"/>
      <w:bookmarkStart w:id="6" w:name="_Toc62985605"/>
      <w:bookmarkStart w:id="7" w:name="_Toc62529397"/>
      <w:bookmarkStart w:id="8" w:name="_Toc61936818"/>
      <w:bookmarkStart w:id="9" w:name="_Toc58723337"/>
      <w:bookmarkStart w:id="10" w:name="_Toc58722848"/>
      <w:bookmarkStart w:id="11" w:name="_Toc58721195"/>
      <w:bookmarkStart w:id="12" w:name="_Toc55716280"/>
      <w:bookmarkStart w:id="13" w:name="_Toc11480915"/>
      <w:bookmarkStart w:id="14" w:name="_Toc11480601"/>
      <w:bookmarkStart w:id="15" w:name="_Toc11480377"/>
      <w:bookmarkStart w:id="16" w:name="_Toc436705384"/>
      <w:r>
        <w:rPr>
          <w:b/>
          <w:sz w:val="32"/>
          <w:szCs w:val="32"/>
        </w:rPr>
        <w:t>Содержание</w:t>
      </w:r>
      <w:bookmarkEnd w:id="3"/>
      <w:bookmarkEnd w:id="4"/>
      <w:bookmarkEnd w:id="5"/>
      <w:bookmarkEnd w:id="6"/>
      <w:bookmarkEnd w:id="7"/>
      <w:bookmarkEnd w:id="8"/>
      <w:bookmarkEnd w:id="9"/>
      <w:bookmarkEnd w:id="10"/>
      <w:bookmarkEnd w:id="11"/>
      <w:bookmarkEnd w:id="12"/>
      <w:bookmarkEnd w:id="13"/>
      <w:bookmarkEnd w:id="14"/>
      <w:bookmarkEnd w:id="15"/>
      <w:bookmarkEnd w:id="16"/>
    </w:p>
    <w:sdt>
      <w:sdtPr>
        <w:docPartObj>
          <w:docPartGallery w:val="Table of Contents"/>
          <w:docPartUnique w:val="true"/>
        </w:docPartObj>
      </w:sdtPr>
      <w:sdtContent>
        <w:p>
          <w:pPr>
            <w:pStyle w:val="12"/>
            <w:rPr>
              <w:rFonts w:ascii="Calibri" w:hAnsi="Calibri" w:eastAsia="" w:cs="" w:asciiTheme="minorHAnsi" w:cstheme="minorBidi" w:eastAsiaTheme="minorEastAsia" w:hAnsiTheme="minorHAnsi"/>
              <w:bCs w:val="false"/>
              <w:sz w:val="22"/>
              <w:szCs w:val="22"/>
            </w:rPr>
          </w:pPr>
          <w:r>
            <w:fldChar w:fldCharType="begin"/>
          </w:r>
          <w:r>
            <w:rPr>
              <w:webHidden/>
            </w:rPr>
            <w:instrText xml:space="preserve"> TOC \z \h</w:instrText>
          </w:r>
          <w:r>
            <w:rPr>
              <w:webHidden/>
            </w:rPr>
            <w:fldChar w:fldCharType="separate"/>
          </w:r>
          <w:hyperlink w:anchor="_Toc150263808">
            <w:r>
              <w:rPr>
                <w:webHidden/>
              </w:rPr>
              <w:t>1</w:t>
            </w:r>
            <w:r>
              <w:rPr>
                <w:rFonts w:eastAsia="" w:cs="" w:ascii="Calibri" w:hAnsi="Calibri" w:asciiTheme="minorHAnsi" w:cstheme="minorBidi" w:eastAsiaTheme="minorEastAsia" w:hAnsiTheme="minorHAnsi"/>
                <w:bCs w:val="false"/>
                <w:sz w:val="22"/>
                <w:szCs w:val="22"/>
              </w:rPr>
              <w:tab/>
            </w:r>
            <w:r>
              <w:rPr/>
              <w:t>Назначение и область применения</w:t>
            </w:r>
            <w:r>
              <w:rPr>
                <w:webHidden/>
              </w:rPr>
              <w:fldChar w:fldCharType="begin"/>
            </w:r>
            <w:r>
              <w:rPr>
                <w:webHidden/>
              </w:rPr>
              <w:instrText xml:space="preserve">PAGEREF _Toc150263808 \h</w:instrText>
            </w:r>
            <w:r>
              <w:rPr>
                <w:webHidden/>
              </w:rPr>
              <w:fldChar w:fldCharType="separate"/>
            </w:r>
            <w:r>
              <w:rPr>
                <w:vanish w:val="false"/>
              </w:rPr>
              <w:tab/>
              <w:t>5</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09">
            <w:r>
              <w:rPr>
                <w:webHidden/>
              </w:rPr>
              <w:t>2</w:t>
            </w:r>
            <w:r>
              <w:rPr>
                <w:rFonts w:eastAsia="" w:cs="" w:ascii="Calibri" w:hAnsi="Calibri" w:asciiTheme="minorHAnsi" w:cstheme="minorBidi" w:eastAsiaTheme="minorEastAsia" w:hAnsiTheme="minorHAnsi"/>
                <w:bCs w:val="false"/>
                <w:sz w:val="22"/>
                <w:szCs w:val="22"/>
              </w:rPr>
              <w:tab/>
            </w:r>
            <w:r>
              <w:rPr/>
              <w:t>Термины и сокращения</w:t>
            </w:r>
            <w:r>
              <w:rPr>
                <w:webHidden/>
              </w:rPr>
              <w:fldChar w:fldCharType="begin"/>
            </w:r>
            <w:r>
              <w:rPr>
                <w:webHidden/>
              </w:rPr>
              <w:instrText xml:space="preserve">PAGEREF _Toc150263809 \h</w:instrText>
            </w:r>
            <w:r>
              <w:rPr>
                <w:webHidden/>
              </w:rPr>
              <w:fldChar w:fldCharType="separate"/>
            </w:r>
            <w:r>
              <w:rPr>
                <w:vanish w:val="false"/>
              </w:rPr>
              <w:tab/>
              <w:t>5</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10">
            <w:r>
              <w:rPr>
                <w:webHidden/>
              </w:rPr>
              <w:t>3</w:t>
            </w:r>
            <w:r>
              <w:rPr>
                <w:rFonts w:eastAsia="" w:cs="" w:ascii="Calibri" w:hAnsi="Calibri" w:asciiTheme="minorHAnsi" w:cstheme="minorBidi" w:eastAsiaTheme="minorEastAsia" w:hAnsiTheme="minorHAnsi"/>
                <w:bCs w:val="false"/>
                <w:sz w:val="22"/>
                <w:szCs w:val="22"/>
              </w:rPr>
              <w:tab/>
            </w:r>
            <w:r>
              <w:rPr/>
              <w:t>Цели и принципы обработки ПДн</w:t>
            </w:r>
            <w:r>
              <w:rPr>
                <w:webHidden/>
              </w:rPr>
              <w:fldChar w:fldCharType="begin"/>
            </w:r>
            <w:r>
              <w:rPr>
                <w:webHidden/>
              </w:rPr>
              <w:instrText xml:space="preserve">PAGEREF _Toc150263810 \h</w:instrText>
            </w:r>
            <w:r>
              <w:rPr>
                <w:webHidden/>
              </w:rPr>
              <w:fldChar w:fldCharType="separate"/>
            </w:r>
            <w:r>
              <w:rPr>
                <w:vanish w:val="false"/>
              </w:rPr>
              <w:tab/>
              <w:t>9</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11">
            <w:r>
              <w:rPr>
                <w:webHidden/>
              </w:rPr>
              <w:t>4</w:t>
            </w:r>
            <w:r>
              <w:rPr>
                <w:rFonts w:eastAsia="" w:cs="" w:ascii="Calibri" w:hAnsi="Calibri" w:asciiTheme="minorHAnsi" w:cstheme="minorBidi" w:eastAsiaTheme="minorEastAsia" w:hAnsiTheme="minorHAnsi"/>
                <w:bCs w:val="false"/>
                <w:sz w:val="22"/>
                <w:szCs w:val="22"/>
              </w:rPr>
              <w:tab/>
            </w:r>
            <w:r>
              <w:rPr/>
              <w:t>Перечень субъектов, ПДн которых обрабатываются в Академии</w:t>
            </w:r>
            <w:r>
              <w:rPr>
                <w:webHidden/>
              </w:rPr>
              <w:fldChar w:fldCharType="begin"/>
            </w:r>
            <w:r>
              <w:rPr>
                <w:webHidden/>
              </w:rPr>
              <w:instrText xml:space="preserve">PAGEREF _Toc150263811 \h</w:instrText>
            </w:r>
            <w:r>
              <w:rPr>
                <w:webHidden/>
              </w:rPr>
              <w:fldChar w:fldCharType="separate"/>
            </w:r>
            <w:r>
              <w:rPr>
                <w:vanish w:val="false"/>
              </w:rPr>
              <w:tab/>
              <w:t>11</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12">
            <w:r>
              <w:rPr>
                <w:webHidden/>
              </w:rPr>
              <w:t>5</w:t>
            </w:r>
            <w:r>
              <w:rPr>
                <w:rFonts w:eastAsia="" w:cs="" w:ascii="Calibri" w:hAnsi="Calibri" w:asciiTheme="minorHAnsi" w:cstheme="minorBidi" w:eastAsiaTheme="minorEastAsia" w:hAnsiTheme="minorHAnsi"/>
                <w:bCs w:val="false"/>
                <w:sz w:val="22"/>
                <w:szCs w:val="22"/>
              </w:rPr>
              <w:tab/>
            </w:r>
            <w:r>
              <w:rPr/>
              <w:t>Перечень ПДн, обрабатываемых в Академии</w:t>
            </w:r>
            <w:r>
              <w:rPr>
                <w:webHidden/>
              </w:rPr>
              <w:fldChar w:fldCharType="begin"/>
            </w:r>
            <w:r>
              <w:rPr>
                <w:webHidden/>
              </w:rPr>
              <w:instrText xml:space="preserve">PAGEREF _Toc150263812 \h</w:instrText>
            </w:r>
            <w:r>
              <w:rPr>
                <w:webHidden/>
              </w:rPr>
              <w:fldChar w:fldCharType="separate"/>
            </w:r>
            <w:r>
              <w:rPr>
                <w:vanish w:val="false"/>
              </w:rPr>
              <w:tab/>
              <w:t>11</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13">
            <w:r>
              <w:rPr>
                <w:webHidden/>
              </w:rPr>
              <w:t>6</w:t>
            </w:r>
            <w:r>
              <w:rPr>
                <w:rFonts w:eastAsia="" w:cs="" w:ascii="Calibri" w:hAnsi="Calibri" w:asciiTheme="minorHAnsi" w:cstheme="minorBidi" w:eastAsiaTheme="minorEastAsia" w:hAnsiTheme="minorHAnsi"/>
                <w:bCs w:val="false"/>
                <w:sz w:val="22"/>
                <w:szCs w:val="22"/>
              </w:rPr>
              <w:tab/>
            </w:r>
            <w:r>
              <w:rPr/>
              <w:t>Функции Академии при осуществлении обработки ПДн</w:t>
            </w:r>
            <w:r>
              <w:rPr>
                <w:webHidden/>
              </w:rPr>
              <w:fldChar w:fldCharType="begin"/>
            </w:r>
            <w:r>
              <w:rPr>
                <w:webHidden/>
              </w:rPr>
              <w:instrText xml:space="preserve">PAGEREF _Toc150263813 \h</w:instrText>
            </w:r>
            <w:r>
              <w:rPr>
                <w:webHidden/>
              </w:rPr>
              <w:fldChar w:fldCharType="separate"/>
            </w:r>
            <w:r>
              <w:rPr>
                <w:vanish w:val="false"/>
              </w:rPr>
              <w:tab/>
              <w:t>12</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14">
            <w:r>
              <w:rPr>
                <w:webHidden/>
              </w:rPr>
              <w:t>7</w:t>
            </w:r>
            <w:r>
              <w:rPr>
                <w:rFonts w:eastAsia="" w:cs="" w:ascii="Calibri" w:hAnsi="Calibri" w:asciiTheme="minorHAnsi" w:cstheme="minorBidi" w:eastAsiaTheme="minorEastAsia" w:hAnsiTheme="minorHAnsi"/>
                <w:bCs w:val="false"/>
                <w:sz w:val="22"/>
                <w:szCs w:val="22"/>
              </w:rPr>
              <w:tab/>
            </w:r>
            <w:r>
              <w:rPr/>
              <w:t>Порядок и условия обработки ПДн в Академии и их трансграничная передача.</w:t>
            </w:r>
            <w:r>
              <w:rPr>
                <w:webHidden/>
              </w:rPr>
              <w:fldChar w:fldCharType="begin"/>
            </w:r>
            <w:r>
              <w:rPr>
                <w:webHidden/>
              </w:rPr>
              <w:instrText xml:space="preserve">PAGEREF _Toc150263814 \h</w:instrText>
            </w:r>
            <w:r>
              <w:rPr>
                <w:webHidden/>
              </w:rPr>
              <w:fldChar w:fldCharType="separate"/>
            </w:r>
            <w:r>
              <w:rPr>
                <w:vanish w:val="false"/>
              </w:rPr>
              <w:tab/>
              <w:t>12</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15">
            <w:r>
              <w:rPr>
                <w:webHidden/>
              </w:rPr>
              <w:t>8</w:t>
            </w:r>
            <w:r>
              <w:rPr>
                <w:rFonts w:eastAsia="" w:cs="" w:ascii="Calibri" w:hAnsi="Calibri" w:asciiTheme="minorHAnsi" w:cstheme="minorBidi" w:eastAsiaTheme="minorEastAsia" w:hAnsiTheme="minorHAnsi"/>
                <w:bCs w:val="false"/>
                <w:sz w:val="22"/>
                <w:szCs w:val="22"/>
              </w:rPr>
              <w:tab/>
            </w:r>
            <w:r>
              <w:rPr/>
              <w:t>Доступ к обрабатываемым в Академии ПДн</w:t>
            </w:r>
            <w:r>
              <w:rPr>
                <w:webHidden/>
              </w:rPr>
              <w:fldChar w:fldCharType="begin"/>
            </w:r>
            <w:r>
              <w:rPr>
                <w:webHidden/>
              </w:rPr>
              <w:instrText xml:space="preserve">PAGEREF _Toc150263815 \h</w:instrText>
            </w:r>
            <w:r>
              <w:rPr>
                <w:webHidden/>
              </w:rPr>
              <w:fldChar w:fldCharType="separate"/>
            </w:r>
            <w:r>
              <w:rPr>
                <w:vanish w:val="false"/>
              </w:rPr>
              <w:tab/>
              <w:t>19</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16">
            <w:r>
              <w:rPr>
                <w:webHidden/>
              </w:rPr>
              <w:t>9</w:t>
            </w:r>
            <w:r>
              <w:rPr>
                <w:rFonts w:eastAsia="" w:cs="" w:ascii="Calibri" w:hAnsi="Calibri" w:asciiTheme="minorHAnsi" w:cstheme="minorBidi" w:eastAsiaTheme="minorEastAsia" w:hAnsiTheme="minorHAnsi"/>
                <w:bCs w:val="false"/>
                <w:sz w:val="22"/>
                <w:szCs w:val="22"/>
              </w:rPr>
              <w:tab/>
            </w:r>
            <w:r>
              <w:rPr/>
              <w:t>Перечень действий с ПДн - сроки и способы их обработки, а также сроки и порядок хранения и дальнейшего уничтожения</w:t>
            </w:r>
            <w:r>
              <w:rPr>
                <w:webHidden/>
              </w:rPr>
              <w:fldChar w:fldCharType="begin"/>
            </w:r>
            <w:r>
              <w:rPr>
                <w:webHidden/>
              </w:rPr>
              <w:instrText xml:space="preserve">PAGEREF _Toc150263816 \h</w:instrText>
            </w:r>
            <w:r>
              <w:rPr>
                <w:webHidden/>
              </w:rPr>
              <w:fldChar w:fldCharType="separate"/>
            </w:r>
            <w:r>
              <w:rPr>
                <w:vanish w:val="false"/>
              </w:rPr>
              <w:tab/>
              <w:t>20</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17">
            <w:r>
              <w:rPr>
                <w:webHidden/>
              </w:rPr>
              <w:t>10</w:t>
            </w:r>
            <w:r>
              <w:rPr>
                <w:rFonts w:eastAsia="" w:cs="" w:ascii="Calibri" w:hAnsi="Calibri" w:asciiTheme="minorHAnsi" w:cstheme="minorBidi" w:eastAsiaTheme="minorEastAsia" w:hAnsiTheme="minorHAnsi"/>
                <w:bCs w:val="false"/>
                <w:sz w:val="22"/>
                <w:szCs w:val="22"/>
              </w:rPr>
              <w:tab/>
            </w:r>
            <w:r>
              <w:rPr/>
              <w:t>Меры, принимаемые Академией для обеспечения выполнения обязанностей Оператора при обработке ПДн</w:t>
            </w:r>
            <w:r>
              <w:rPr>
                <w:webHidden/>
              </w:rPr>
              <w:fldChar w:fldCharType="begin"/>
            </w:r>
            <w:r>
              <w:rPr>
                <w:webHidden/>
              </w:rPr>
              <w:instrText xml:space="preserve">PAGEREF _Toc150263817 \h</w:instrText>
            </w:r>
            <w:r>
              <w:rPr>
                <w:webHidden/>
              </w:rPr>
              <w:fldChar w:fldCharType="separate"/>
            </w:r>
            <w:r>
              <w:rPr>
                <w:vanish w:val="false"/>
              </w:rPr>
              <w:tab/>
              <w:t>23</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18">
            <w:r>
              <w:rPr>
                <w:webHidden/>
              </w:rPr>
              <w:t>11</w:t>
            </w:r>
            <w:r>
              <w:rPr>
                <w:rFonts w:eastAsia="" w:cs="" w:ascii="Calibri" w:hAnsi="Calibri" w:asciiTheme="minorHAnsi" w:cstheme="minorBidi" w:eastAsiaTheme="minorEastAsia" w:hAnsiTheme="minorHAnsi"/>
                <w:bCs w:val="false"/>
                <w:sz w:val="22"/>
                <w:szCs w:val="22"/>
              </w:rPr>
              <w:tab/>
            </w:r>
            <w:r>
              <w:rPr/>
              <w:t>Права субъектов ПДн</w:t>
            </w:r>
            <w:r>
              <w:rPr>
                <w:webHidden/>
              </w:rPr>
              <w:fldChar w:fldCharType="begin"/>
            </w:r>
            <w:r>
              <w:rPr>
                <w:webHidden/>
              </w:rPr>
              <w:instrText xml:space="preserve">PAGEREF _Toc150263818 \h</w:instrText>
            </w:r>
            <w:r>
              <w:rPr>
                <w:webHidden/>
              </w:rPr>
              <w:fldChar w:fldCharType="separate"/>
            </w:r>
            <w:r>
              <w:rPr>
                <w:vanish w:val="false"/>
              </w:rPr>
              <w:tab/>
              <w:t>25</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19">
            <w:r>
              <w:rPr>
                <w:webHidden/>
              </w:rPr>
              <w:t>12</w:t>
            </w:r>
            <w:r>
              <w:rPr>
                <w:rFonts w:eastAsia="" w:cs="" w:ascii="Calibri" w:hAnsi="Calibri" w:asciiTheme="minorHAnsi" w:cstheme="minorBidi" w:eastAsiaTheme="minorEastAsia" w:hAnsiTheme="minorHAnsi"/>
                <w:bCs w:val="false"/>
                <w:sz w:val="22"/>
                <w:szCs w:val="22"/>
              </w:rPr>
              <w:tab/>
            </w:r>
            <w:r>
              <w:rPr/>
              <w:t>Контроль за соблюдением законодательства Российской Федерации и ЛНА Академии в области ПДн, в том числе требований к защите ПДн</w:t>
            </w:r>
            <w:r>
              <w:rPr>
                <w:webHidden/>
              </w:rPr>
              <w:fldChar w:fldCharType="begin"/>
            </w:r>
            <w:r>
              <w:rPr>
                <w:webHidden/>
              </w:rPr>
              <w:instrText xml:space="preserve">PAGEREF _Toc150263819 \h</w:instrText>
            </w:r>
            <w:r>
              <w:rPr>
                <w:webHidden/>
              </w:rPr>
              <w:fldChar w:fldCharType="separate"/>
            </w:r>
            <w:r>
              <w:rPr>
                <w:vanish w:val="false"/>
              </w:rPr>
              <w:tab/>
              <w:t>26</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20">
            <w:r>
              <w:rPr>
                <w:webHidden/>
              </w:rPr>
              <w:t>13</w:t>
            </w:r>
            <w:r>
              <w:rPr>
                <w:rFonts w:eastAsia="" w:cs="" w:ascii="Calibri" w:hAnsi="Calibri" w:asciiTheme="minorHAnsi" w:cstheme="minorBidi" w:eastAsiaTheme="minorEastAsia" w:hAnsiTheme="minorHAnsi"/>
                <w:bCs w:val="false"/>
                <w:sz w:val="22"/>
                <w:szCs w:val="22"/>
              </w:rPr>
              <w:tab/>
            </w:r>
            <w:r>
              <w:rPr/>
              <w:t>Порядок осуществления внутреннего контроля за соблюдением законодательства Российской Федерации и ЛНА Академии в области ПДн, в том числе требований к защите ПДн</w:t>
            </w:r>
            <w:r>
              <w:rPr>
                <w:webHidden/>
              </w:rPr>
              <w:fldChar w:fldCharType="begin"/>
            </w:r>
            <w:r>
              <w:rPr>
                <w:webHidden/>
              </w:rPr>
              <w:instrText xml:space="preserve">PAGEREF _Toc150263820 \h</w:instrText>
            </w:r>
            <w:r>
              <w:rPr>
                <w:webHidden/>
              </w:rPr>
              <w:fldChar w:fldCharType="separate"/>
            </w:r>
            <w:r>
              <w:rPr>
                <w:vanish w:val="false"/>
              </w:rPr>
              <w:tab/>
              <w:t>27</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21">
            <w:r>
              <w:rPr>
                <w:webHidden/>
              </w:rPr>
              <w:t>14</w:t>
            </w:r>
            <w:r>
              <w:rPr>
                <w:rFonts w:eastAsia="" w:cs="" w:ascii="Calibri" w:hAnsi="Calibri" w:asciiTheme="minorHAnsi" w:cstheme="minorBidi" w:eastAsiaTheme="minorEastAsia" w:hAnsiTheme="minorHAnsi"/>
                <w:bCs w:val="false"/>
                <w:sz w:val="22"/>
                <w:szCs w:val="22"/>
              </w:rPr>
              <w:tab/>
            </w:r>
            <w:r>
              <w:rPr/>
              <w:t>Порядок действий при инцидентах с ПДн</w:t>
            </w:r>
            <w:r>
              <w:rPr>
                <w:webHidden/>
              </w:rPr>
              <w:fldChar w:fldCharType="begin"/>
            </w:r>
            <w:r>
              <w:rPr>
                <w:webHidden/>
              </w:rPr>
              <w:instrText xml:space="preserve">PAGEREF _Toc150263821 \h</w:instrText>
            </w:r>
            <w:r>
              <w:rPr>
                <w:webHidden/>
              </w:rPr>
              <w:fldChar w:fldCharType="separate"/>
            </w:r>
            <w:r>
              <w:rPr>
                <w:vanish w:val="false"/>
              </w:rPr>
              <w:tab/>
              <w:t>29</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22">
            <w:r>
              <w:rPr>
                <w:webHidden/>
              </w:rPr>
              <w:t>15</w:t>
            </w:r>
            <w:r>
              <w:rPr>
                <w:rFonts w:eastAsia="" w:cs="" w:ascii="Calibri" w:hAnsi="Calibri" w:asciiTheme="minorHAnsi" w:cstheme="minorBidi" w:eastAsiaTheme="minorEastAsia" w:hAnsiTheme="minorHAnsi"/>
                <w:bCs w:val="false"/>
                <w:sz w:val="22"/>
                <w:szCs w:val="22"/>
              </w:rPr>
              <w:tab/>
            </w:r>
            <w:r>
              <w:rPr/>
              <w:t>Ответственность за нарушение норм, регулирующих обработку и защиту ПДн</w:t>
            </w:r>
            <w:r>
              <w:rPr>
                <w:webHidden/>
              </w:rPr>
              <w:fldChar w:fldCharType="begin"/>
            </w:r>
            <w:r>
              <w:rPr>
                <w:webHidden/>
              </w:rPr>
              <w:instrText xml:space="preserve">PAGEREF _Toc150263822 \h</w:instrText>
            </w:r>
            <w:r>
              <w:rPr>
                <w:webHidden/>
              </w:rPr>
              <w:fldChar w:fldCharType="separate"/>
            </w:r>
            <w:r>
              <w:rPr>
                <w:vanish w:val="false"/>
              </w:rPr>
              <w:tab/>
              <w:t>29</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23">
            <w:r>
              <w:rPr>
                <w:webHidden/>
              </w:rPr>
              <w:t>16</w:t>
            </w:r>
            <w:r>
              <w:rPr>
                <w:rFonts w:eastAsia="" w:cs="" w:ascii="Calibri" w:hAnsi="Calibri" w:asciiTheme="minorHAnsi" w:cstheme="minorBidi" w:eastAsiaTheme="minorEastAsia" w:hAnsiTheme="minorHAnsi"/>
                <w:bCs w:val="false"/>
                <w:sz w:val="22"/>
                <w:szCs w:val="22"/>
              </w:rPr>
              <w:tab/>
            </w:r>
            <w:r>
              <w:rPr/>
              <w:t>Нормативные ссылки</w:t>
            </w:r>
            <w:r>
              <w:rPr>
                <w:webHidden/>
              </w:rPr>
              <w:fldChar w:fldCharType="begin"/>
            </w:r>
            <w:r>
              <w:rPr>
                <w:webHidden/>
              </w:rPr>
              <w:instrText xml:space="preserve">PAGEREF _Toc150263823 \h</w:instrText>
            </w:r>
            <w:r>
              <w:rPr>
                <w:webHidden/>
              </w:rPr>
              <w:fldChar w:fldCharType="separate"/>
            </w:r>
            <w:r>
              <w:rPr>
                <w:vanish w:val="false"/>
              </w:rPr>
              <w:tab/>
              <w:t>30</w:t>
            </w:r>
            <w:r>
              <w:rPr>
                <w:webHidden/>
              </w:rPr>
              <w:fldChar w:fldCharType="end"/>
            </w:r>
          </w:hyperlink>
        </w:p>
        <w:p>
          <w:pPr>
            <w:pStyle w:val="12"/>
            <w:rPr>
              <w:rFonts w:ascii="Calibri" w:hAnsi="Calibri" w:eastAsia="" w:cs="" w:asciiTheme="minorHAnsi" w:cstheme="minorBidi" w:eastAsiaTheme="minorEastAsia" w:hAnsiTheme="minorHAnsi"/>
              <w:bCs w:val="false"/>
              <w:sz w:val="22"/>
              <w:szCs w:val="22"/>
            </w:rPr>
          </w:pPr>
          <w:hyperlink w:anchor="_Toc150263824">
            <w:r>
              <w:rPr>
                <w:webHidden/>
              </w:rPr>
              <w:t>17</w:t>
            </w:r>
            <w:r>
              <w:rPr>
                <w:rFonts w:eastAsia="" w:cs="" w:ascii="Calibri" w:hAnsi="Calibri" w:asciiTheme="minorHAnsi" w:cstheme="minorBidi" w:eastAsiaTheme="minorEastAsia" w:hAnsiTheme="minorHAnsi"/>
                <w:bCs w:val="false"/>
                <w:sz w:val="22"/>
                <w:szCs w:val="22"/>
              </w:rPr>
              <w:tab/>
            </w:r>
            <w:r>
              <w:rPr/>
              <w:t>Заключительные положения</w:t>
            </w:r>
            <w:r>
              <w:rPr>
                <w:webHidden/>
              </w:rPr>
              <w:fldChar w:fldCharType="begin"/>
            </w:r>
            <w:r>
              <w:rPr>
                <w:webHidden/>
              </w:rPr>
              <w:instrText xml:space="preserve">PAGEREF _Toc150263824 \h</w:instrText>
            </w:r>
            <w:r>
              <w:rPr>
                <w:webHidden/>
              </w:rPr>
              <w:fldChar w:fldCharType="separate"/>
            </w:r>
            <w:r>
              <w:rPr>
                <w:vanish w:val="false"/>
              </w:rPr>
              <w:tab/>
              <w:t>31</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25">
            <w:r>
              <w:rPr>
                <w:webHidden/>
              </w:rPr>
              <w:t>Согласие кандидата на замещение вакантной должности в АНО ДПО «Техническая академия Росатома» на обработку персональных данных</w:t>
            </w:r>
            <w:r>
              <w:rPr>
                <w:webHidden/>
              </w:rPr>
              <w:fldChar w:fldCharType="begin"/>
            </w:r>
            <w:r>
              <w:rPr>
                <w:webHidden/>
              </w:rPr>
              <w:instrText xml:space="preserve">PAGEREF _Toc150263825 \h</w:instrText>
            </w:r>
            <w:r>
              <w:rPr>
                <w:webHidden/>
              </w:rPr>
              <w:fldChar w:fldCharType="separate"/>
            </w:r>
            <w:r>
              <w:rPr>
                <w:vanish w:val="false"/>
              </w:rPr>
              <w:tab/>
              <w:t>32</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26">
            <w:r>
              <w:rPr>
                <w:webHidden/>
              </w:rPr>
              <w:t>СОГЛАСИЕ на обработку персональных данных обучающегося (слушателя) АНО ДПО «Техническая академия Росатома»</w:t>
            </w:r>
            <w:r>
              <w:rPr>
                <w:webHidden/>
              </w:rPr>
              <w:fldChar w:fldCharType="begin"/>
            </w:r>
            <w:r>
              <w:rPr>
                <w:webHidden/>
              </w:rPr>
              <w:instrText xml:space="preserve">PAGEREF _Toc150263826 \h</w:instrText>
            </w:r>
            <w:r>
              <w:rPr>
                <w:webHidden/>
              </w:rPr>
              <w:fldChar w:fldCharType="separate"/>
            </w:r>
            <w:r>
              <w:rPr>
                <w:vanish w:val="false"/>
              </w:rPr>
              <w:tab/>
              <w:t>34</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27">
            <w:r>
              <w:rPr>
                <w:webHidden/>
              </w:rPr>
              <w:t>Форма согласия на обработку ПДн обучающегося (слушателя) АНО ДПО «Техническая академия Росатома» (иностранного гражданина)</w:t>
            </w:r>
            <w:r>
              <w:rPr>
                <w:webHidden/>
              </w:rPr>
              <w:fldChar w:fldCharType="begin"/>
            </w:r>
            <w:r>
              <w:rPr>
                <w:webHidden/>
              </w:rPr>
              <w:instrText xml:space="preserve">PAGEREF _Toc150263827 \h</w:instrText>
            </w:r>
            <w:r>
              <w:rPr>
                <w:webHidden/>
              </w:rPr>
              <w:fldChar w:fldCharType="separate"/>
            </w:r>
            <w:r>
              <w:rPr>
                <w:vanish w:val="false"/>
              </w:rPr>
              <w:tab/>
              <w:t>37</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28">
            <w:r>
              <w:rPr>
                <w:webHidden/>
              </w:rPr>
              <w:t>Согласие на обработку биометрических персональных данных</w:t>
            </w:r>
            <w:r>
              <w:rPr>
                <w:webHidden/>
              </w:rPr>
              <w:fldChar w:fldCharType="begin"/>
            </w:r>
            <w:r>
              <w:rPr>
                <w:webHidden/>
              </w:rPr>
              <w:instrText xml:space="preserve">PAGEREF _Toc150263828 \h</w:instrText>
            </w:r>
            <w:r>
              <w:rPr>
                <w:webHidden/>
              </w:rPr>
              <w:fldChar w:fldCharType="separate"/>
            </w:r>
            <w:r>
              <w:rPr>
                <w:vanish w:val="false"/>
              </w:rPr>
              <w:tab/>
              <w:t>40</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29">
            <w:r>
              <w:rPr>
                <w:webHidden/>
              </w:rPr>
              <w:t>Согласие на обработку персональных данных, разрешенных субъектом персональных данных для распространения/передачи</w:t>
            </w:r>
            <w:r>
              <w:rPr>
                <w:webHidden/>
              </w:rPr>
              <w:fldChar w:fldCharType="begin"/>
            </w:r>
            <w:r>
              <w:rPr>
                <w:webHidden/>
              </w:rPr>
              <w:instrText xml:space="preserve">PAGEREF _Toc150263829 \h</w:instrText>
            </w:r>
            <w:r>
              <w:rPr>
                <w:webHidden/>
              </w:rPr>
              <w:fldChar w:fldCharType="separate"/>
            </w:r>
            <w:r>
              <w:rPr>
                <w:vanish w:val="false"/>
              </w:rPr>
              <w:tab/>
              <w:t>41</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30">
            <w:r>
              <w:rPr>
                <w:webHidden/>
              </w:rPr>
              <w:t>Форма разъяснения субъекту персональных данных юридических последствий отказа предоставить свои персональные данные</w:t>
            </w:r>
            <w:r>
              <w:rPr>
                <w:webHidden/>
              </w:rPr>
              <w:fldChar w:fldCharType="begin"/>
            </w:r>
            <w:r>
              <w:rPr>
                <w:webHidden/>
              </w:rPr>
              <w:instrText xml:space="preserve">PAGEREF _Toc150263830 \h</w:instrText>
            </w:r>
            <w:r>
              <w:rPr>
                <w:webHidden/>
              </w:rPr>
              <w:fldChar w:fldCharType="separate"/>
            </w:r>
            <w:r>
              <w:rPr>
                <w:vanish w:val="false"/>
              </w:rPr>
              <w:tab/>
              <w:t>43</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31">
            <w:r>
              <w:rPr>
                <w:webHidden/>
              </w:rPr>
              <w:t>Форма соглашения о конфиденциальности и неразглашении информации, содержащей сведения, составляющие персональные данные</w:t>
            </w:r>
            <w:r>
              <w:rPr>
                <w:webHidden/>
              </w:rPr>
              <w:fldChar w:fldCharType="begin"/>
            </w:r>
            <w:r>
              <w:rPr>
                <w:webHidden/>
              </w:rPr>
              <w:instrText xml:space="preserve">PAGEREF _Toc150263831 \h</w:instrText>
            </w:r>
            <w:r>
              <w:rPr>
                <w:webHidden/>
              </w:rPr>
              <w:fldChar w:fldCharType="separate"/>
            </w:r>
            <w:r>
              <w:rPr>
                <w:vanish w:val="false"/>
              </w:rPr>
              <w:tab/>
              <w:t>44</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32">
            <w:r>
              <w:rPr>
                <w:webHidden/>
              </w:rPr>
              <w:t>Рекомендации по содержанию Договора в случае передачи персональных данных</w:t>
            </w:r>
            <w:r>
              <w:rPr>
                <w:webHidden/>
              </w:rPr>
              <w:fldChar w:fldCharType="begin"/>
            </w:r>
            <w:r>
              <w:rPr>
                <w:webHidden/>
              </w:rPr>
              <w:instrText xml:space="preserve">PAGEREF _Toc150263832 \h</w:instrText>
            </w:r>
            <w:r>
              <w:rPr>
                <w:webHidden/>
              </w:rPr>
              <w:fldChar w:fldCharType="separate"/>
            </w:r>
            <w:r>
              <w:rPr>
                <w:vanish w:val="false"/>
              </w:rPr>
              <w:tab/>
              <w:t>48</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33">
            <w:r>
              <w:rPr>
                <w:webHidden/>
              </w:rPr>
              <w:t>СОГЛАСИЕ на трансграничную передачу персональных данных, предоставленное АНО ДПО «Техническая академия Росатома»</w:t>
            </w:r>
            <w:r>
              <w:rPr>
                <w:webHidden/>
              </w:rPr>
              <w:fldChar w:fldCharType="begin"/>
            </w:r>
            <w:r>
              <w:rPr>
                <w:webHidden/>
              </w:rPr>
              <w:instrText xml:space="preserve">PAGEREF _Toc150263833 \h</w:instrText>
            </w:r>
            <w:r>
              <w:rPr>
                <w:webHidden/>
              </w:rPr>
              <w:fldChar w:fldCharType="separate"/>
            </w:r>
            <w:r>
              <w:rPr>
                <w:vanish w:val="false"/>
              </w:rPr>
              <w:tab/>
              <w:t>50</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34">
            <w:r>
              <w:rPr>
                <w:webHidden/>
              </w:rPr>
              <w:t>УВЕДОМЛЕНИЕ о намерении осуществлять трансграничную передачу ПД</w:t>
            </w:r>
            <w:r>
              <w:rPr>
                <w:webHidden/>
              </w:rPr>
              <w:fldChar w:fldCharType="begin"/>
            </w:r>
            <w:r>
              <w:rPr>
                <w:webHidden/>
              </w:rPr>
              <w:instrText xml:space="preserve">PAGEREF _Toc150263834 \h</w:instrText>
            </w:r>
            <w:r>
              <w:rPr>
                <w:webHidden/>
              </w:rPr>
              <w:fldChar w:fldCharType="separate"/>
            </w:r>
            <w:r>
              <w:rPr>
                <w:vanish w:val="false"/>
              </w:rPr>
              <w:tab/>
              <w:t>53</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35">
            <w:r>
              <w:rPr>
                <w:webHidden/>
              </w:rPr>
              <w:t>Акт об удалении (уничтожении) информации, содержащей персональные данные</w:t>
            </w:r>
            <w:r>
              <w:rPr>
                <w:webHidden/>
              </w:rPr>
              <w:fldChar w:fldCharType="begin"/>
            </w:r>
            <w:r>
              <w:rPr>
                <w:webHidden/>
              </w:rPr>
              <w:instrText xml:space="preserve">PAGEREF _Toc150263835 \h</w:instrText>
            </w:r>
            <w:r>
              <w:rPr>
                <w:webHidden/>
              </w:rPr>
              <w:fldChar w:fldCharType="separate"/>
            </w:r>
            <w:r>
              <w:rPr>
                <w:vanish w:val="false"/>
              </w:rPr>
              <w:tab/>
              <w:t>55</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36">
            <w:r>
              <w:rPr>
                <w:webHidden/>
              </w:rPr>
              <w:t>Типовая форма журнала учета отзывов согласий на обработку персональных данных и обращений граждан (субъектов персональных данных) по вопросам обработки в АНО ДПО «Техническая академия Росатома»</w:t>
            </w:r>
            <w:r>
              <w:rPr>
                <w:webHidden/>
              </w:rPr>
              <w:fldChar w:fldCharType="begin"/>
            </w:r>
            <w:r>
              <w:rPr>
                <w:webHidden/>
              </w:rPr>
              <w:instrText xml:space="preserve">PAGEREF _Toc150263836 \h</w:instrText>
            </w:r>
            <w:r>
              <w:rPr>
                <w:webHidden/>
              </w:rPr>
              <w:fldChar w:fldCharType="separate"/>
            </w:r>
            <w:r>
              <w:rPr>
                <w:vanish w:val="false"/>
              </w:rPr>
              <w:tab/>
              <w:t>57</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37">
            <w:r>
              <w:rPr>
                <w:webHidden/>
              </w:rPr>
              <w:t>Форма обращения (запроса) субъекта ПДн о получении информации, касающейся обработки ПДн</w:t>
            </w:r>
            <w:r>
              <w:rPr>
                <w:webHidden/>
              </w:rPr>
              <w:fldChar w:fldCharType="begin"/>
            </w:r>
            <w:r>
              <w:rPr>
                <w:webHidden/>
              </w:rPr>
              <w:instrText xml:space="preserve">PAGEREF _Toc150263837 \h</w:instrText>
            </w:r>
            <w:r>
              <w:rPr>
                <w:webHidden/>
              </w:rPr>
              <w:fldChar w:fldCharType="separate"/>
            </w:r>
            <w:r>
              <w:rPr>
                <w:vanish w:val="false"/>
              </w:rPr>
              <w:tab/>
              <w:t>58</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38">
            <w:r>
              <w:rPr>
                <w:webHidden/>
              </w:rPr>
              <w:t>Отзыв согласия на обработку персональных данных</w:t>
            </w:r>
            <w:r>
              <w:rPr>
                <w:webHidden/>
              </w:rPr>
              <w:fldChar w:fldCharType="begin"/>
            </w:r>
            <w:r>
              <w:rPr>
                <w:webHidden/>
              </w:rPr>
              <w:instrText xml:space="preserve">PAGEREF _Toc150263838 \h</w:instrText>
            </w:r>
            <w:r>
              <w:rPr>
                <w:webHidden/>
              </w:rPr>
              <w:fldChar w:fldCharType="separate"/>
            </w:r>
            <w:r>
              <w:rPr>
                <w:vanish w:val="false"/>
              </w:rPr>
              <w:tab/>
              <w:t>60</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39">
            <w:r>
              <w:rPr>
                <w:webHidden/>
              </w:rPr>
              <w:t>Карта кадрового процесса работы с персональными данными (далее – ПДн) в АНО ДПО «Техническая академия Росатома»</w:t>
            </w:r>
            <w:r>
              <w:rPr>
                <w:webHidden/>
              </w:rPr>
              <w:fldChar w:fldCharType="begin"/>
            </w:r>
            <w:r>
              <w:rPr>
                <w:webHidden/>
              </w:rPr>
              <w:instrText xml:space="preserve">PAGEREF _Toc150263839 \h</w:instrText>
            </w:r>
            <w:r>
              <w:rPr>
                <w:webHidden/>
              </w:rPr>
              <w:fldChar w:fldCharType="separate"/>
            </w:r>
            <w:r>
              <w:rPr>
                <w:vanish w:val="false"/>
              </w:rPr>
              <w:tab/>
              <w:t>61</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40">
            <w:r>
              <w:rPr>
                <w:webHidden/>
              </w:rPr>
              <w:t>Карта процесса обучения граждан Российской Федерации в АНО ДПО «Техническая академия Росатома» (дистанционно и очное посещение)</w:t>
            </w:r>
            <w:r>
              <w:rPr>
                <w:webHidden/>
              </w:rPr>
              <w:fldChar w:fldCharType="begin"/>
            </w:r>
            <w:r>
              <w:rPr>
                <w:webHidden/>
              </w:rPr>
              <w:instrText xml:space="preserve">PAGEREF _Toc150263840 \h</w:instrText>
            </w:r>
            <w:r>
              <w:rPr>
                <w:webHidden/>
              </w:rPr>
              <w:fldChar w:fldCharType="separate"/>
            </w:r>
            <w:r>
              <w:rPr>
                <w:vanish w:val="false"/>
              </w:rPr>
              <w:tab/>
              <w:t>62</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41">
            <w:r>
              <w:rPr>
                <w:webHidden/>
              </w:rPr>
              <w:t>Карта процесса обучения иностранных граждан (международное)</w:t>
            </w:r>
            <w:r>
              <w:rPr>
                <w:webHidden/>
              </w:rPr>
              <w:fldChar w:fldCharType="begin"/>
            </w:r>
            <w:r>
              <w:rPr>
                <w:webHidden/>
              </w:rPr>
              <w:instrText xml:space="preserve">PAGEREF _Toc150263841 \h</w:instrText>
            </w:r>
            <w:r>
              <w:rPr>
                <w:webHidden/>
              </w:rPr>
              <w:fldChar w:fldCharType="separate"/>
            </w:r>
            <w:r>
              <w:rPr>
                <w:vanish w:val="false"/>
              </w:rPr>
              <w:tab/>
              <w:t>63</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42">
            <w:r>
              <w:rPr>
                <w:webHidden/>
              </w:rPr>
              <w:t>Карта процесса – оформление пропуска сторонним физическим лицам, посещающим АНО ДПО «Техническая академия Росатома» (далее – Академия)</w:t>
            </w:r>
            <w:r>
              <w:rPr>
                <w:webHidden/>
              </w:rPr>
              <w:fldChar w:fldCharType="begin"/>
            </w:r>
            <w:r>
              <w:rPr>
                <w:webHidden/>
              </w:rPr>
              <w:instrText xml:space="preserve">PAGEREF _Toc150263842 \h</w:instrText>
            </w:r>
            <w:r>
              <w:rPr>
                <w:webHidden/>
              </w:rPr>
              <w:fldChar w:fldCharType="separate"/>
            </w:r>
            <w:r>
              <w:rPr>
                <w:vanish w:val="false"/>
              </w:rPr>
              <w:tab/>
              <w:t>64</w:t>
            </w:r>
            <w:r>
              <w:rPr>
                <w:webHidden/>
              </w:rPr>
              <w:fldChar w:fldCharType="end"/>
            </w:r>
          </w:hyperlink>
        </w:p>
        <w:p>
          <w:pPr>
            <w:pStyle w:val="41"/>
            <w:numPr>
              <w:ilvl w:val="0"/>
              <w:numId w:val="30"/>
            </w:numPr>
            <w:tabs>
              <w:tab w:val="clear" w:pos="2381"/>
              <w:tab w:val="right" w:pos="9639" w:leader="dot"/>
            </w:tabs>
            <w:ind w:left="2410" w:right="-1" w:hanging="2410"/>
            <w:rPr>
              <w:rFonts w:ascii="Calibri" w:hAnsi="Calibri" w:eastAsia="" w:cs="" w:asciiTheme="minorHAnsi" w:cstheme="minorBidi" w:eastAsiaTheme="minorEastAsia" w:hAnsiTheme="minorHAnsi"/>
              <w:sz w:val="22"/>
              <w:szCs w:val="22"/>
            </w:rPr>
          </w:pPr>
          <w:hyperlink w:anchor="_Toc150263843">
            <w:r>
              <w:rPr>
                <w:webHidden/>
              </w:rPr>
              <w:t>Карта процесса – Гостиничные услуги</w:t>
            </w:r>
            <w:r>
              <w:rPr>
                <w:webHidden/>
              </w:rPr>
              <w:fldChar w:fldCharType="begin"/>
            </w:r>
            <w:r>
              <w:rPr>
                <w:webHidden/>
              </w:rPr>
              <w:instrText xml:space="preserve">PAGEREF _Toc150263843 \h</w:instrText>
            </w:r>
            <w:r>
              <w:rPr>
                <w:webHidden/>
              </w:rPr>
              <w:fldChar w:fldCharType="separate"/>
            </w:r>
            <w:r>
              <w:rPr>
                <w:vanish w:val="false"/>
              </w:rPr>
              <w:tab/>
              <w:t>65</w:t>
            </w:r>
            <w:r>
              <w:rPr>
                <w:webHidden/>
              </w:rPr>
              <w:fldChar w:fldCharType="end"/>
            </w:r>
          </w:hyperlink>
          <w:r>
            <w:rPr>
              <w:vanish w:val="false"/>
            </w:rPr>
            <w:fldChar w:fldCharType="end"/>
          </w:r>
        </w:p>
      </w:sdtContent>
    </w:sdt>
    <w:p>
      <w:pPr>
        <w:pStyle w:val="Style36"/>
        <w:ind w:left="2268" w:hanging="2268"/>
        <w:rPr/>
      </w:pPr>
      <w:r>
        <w:rPr/>
      </w:r>
      <w:r>
        <w:br w:type="page"/>
      </w:r>
    </w:p>
    <w:p>
      <w:pPr>
        <w:pStyle w:val="1"/>
        <w:rPr/>
      </w:pPr>
      <w:bookmarkStart w:id="17" w:name="_Toc150263808"/>
      <w:bookmarkStart w:id="18" w:name="_Toc145919137"/>
      <w:bookmarkStart w:id="19" w:name="_Toc100588925"/>
      <w:r>
        <w:rPr/>
        <w:t>Назначение и область применения</w:t>
      </w:r>
      <w:bookmarkEnd w:id="17"/>
      <w:bookmarkEnd w:id="18"/>
      <w:bookmarkEnd w:id="19"/>
    </w:p>
    <w:p>
      <w:pPr>
        <w:pStyle w:val="22"/>
        <w:numPr>
          <w:ilvl w:val="1"/>
          <w:numId w:val="1"/>
        </w:numPr>
        <w:rPr/>
      </w:pPr>
      <w:r>
        <w:rPr>
          <w:color w:val="000000"/>
        </w:rPr>
        <w:t xml:space="preserve">Положение </w:t>
      </w:r>
      <w:r>
        <w:rPr/>
        <w:t>об обеспечении защиты персональных данных при осуществлении их обработки в АНО ДПО «Техническая академия Росатома» определяет основные принципы, цели, условия и способы обработки персональных данных, перечни субъектов и обрабатываемых в Академии и ее филиалах персональных данных, функции Академии при обработке персональных данных, права субъектов персональных данных, а также реализуемые в Академии и ее филиалах требования к защите персональных данных.</w:t>
      </w:r>
    </w:p>
    <w:p>
      <w:pPr>
        <w:pStyle w:val="22"/>
        <w:numPr>
          <w:ilvl w:val="1"/>
          <w:numId w:val="1"/>
        </w:numPr>
        <w:rPr/>
      </w:pPr>
      <w:r>
        <w:rPr/>
        <w:t>Обработка персональных данных работников Академии производится в порядке и с учетом требований, изложенных в ПЛ-005 «Положение о работе с персональными данными» в части, не противоречащей данному Положению.</w:t>
      </w:r>
    </w:p>
    <w:p>
      <w:pPr>
        <w:pStyle w:val="22"/>
        <w:numPr>
          <w:ilvl w:val="1"/>
          <w:numId w:val="1"/>
        </w:numPr>
        <w:rPr/>
      </w:pPr>
      <w:r>
        <w:rPr/>
        <w:t xml:space="preserve">Положение разработано с учетом требований Конституции Российской Федерации, законодательных и иных нормативных правовых актов Российской Федерации в области персональных данных, а также требований Регламента Европейского Парламента и Совета Европейского Союза № 2016/679 от 27 апреля 2016г. о защите физических лиц при обработке персональных данных и о свободном обращении таких данных, а также об отмене Директивы 95/46/ЕС (Общий Регламент о защите персональных данных / General Data Protection Regulation /GDPR). </w:t>
      </w:r>
    </w:p>
    <w:p>
      <w:pPr>
        <w:pStyle w:val="22"/>
        <w:numPr>
          <w:ilvl w:val="1"/>
          <w:numId w:val="1"/>
        </w:numPr>
        <w:rPr/>
      </w:pPr>
      <w:r>
        <w:rPr/>
        <w:t xml:space="preserve">Настоящее Положение должно быть доведено до каждого работника Академии и ее филиалов, а до работников, осуществляющих обработку персональных данных, Положение должно быть доведено под подпись. </w:t>
      </w:r>
    </w:p>
    <w:p>
      <w:pPr>
        <w:pStyle w:val="22"/>
        <w:numPr>
          <w:ilvl w:val="1"/>
          <w:numId w:val="1"/>
        </w:numPr>
        <w:rPr/>
      </w:pPr>
      <w:r>
        <w:rPr/>
        <w:t xml:space="preserve">Все изменения и дополнения к настоящему Положению утверждаются Ректором Академии и вводятся приказом по Академии. </w:t>
      </w:r>
    </w:p>
    <w:p>
      <w:pPr>
        <w:pStyle w:val="1"/>
        <w:rPr/>
      </w:pPr>
      <w:bookmarkStart w:id="20" w:name="_Toc150263809"/>
      <w:bookmarkStart w:id="21" w:name="_Toc145919138"/>
      <w:bookmarkStart w:id="22" w:name="_Toc100588927"/>
      <w:bookmarkStart w:id="23" w:name="_Toc148841515"/>
      <w:bookmarkStart w:id="24" w:name="_Toc122510923"/>
      <w:r>
        <w:rPr/>
        <w:t>Термины и сокращения</w:t>
      </w:r>
      <w:bookmarkEnd w:id="20"/>
      <w:bookmarkEnd w:id="21"/>
      <w:bookmarkEnd w:id="22"/>
      <w:bookmarkEnd w:id="23"/>
      <w:bookmarkEnd w:id="24"/>
    </w:p>
    <w:p>
      <w:pPr>
        <w:pStyle w:val="22"/>
        <w:numPr>
          <w:ilvl w:val="1"/>
          <w:numId w:val="1"/>
        </w:numPr>
        <w:rPr/>
      </w:pPr>
      <w:r>
        <w:rPr/>
        <w:t>В настоящем документе применены следующие термины с соответствующими определениями:</w:t>
      </w:r>
    </w:p>
    <w:tbl>
      <w:tblPr>
        <w:tblW w:w="5000" w:type="pct"/>
        <w:jc w:val="center"/>
        <w:tblInd w:w="0" w:type="dxa"/>
        <w:tblLayout w:type="fixed"/>
        <w:tblCellMar>
          <w:top w:w="0" w:type="dxa"/>
          <w:left w:w="108" w:type="dxa"/>
          <w:bottom w:w="0" w:type="dxa"/>
          <w:right w:w="108" w:type="dxa"/>
        </w:tblCellMar>
        <w:tblLook w:val="0000" w:noVBand="0" w:noHBand="0" w:lastColumn="0" w:firstColumn="0" w:lastRow="0" w:firstRow="0"/>
      </w:tblPr>
      <w:tblGrid>
        <w:gridCol w:w="2994"/>
        <w:gridCol w:w="6642"/>
      </w:tblGrid>
      <w:tr>
        <w:trPr>
          <w:tblHeader w:val="true"/>
          <w:trHeight w:val="666" w:hRule="atLeast"/>
        </w:trPr>
        <w:tc>
          <w:tcPr>
            <w:tcW w:w="29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b/>
                <w:bCs/>
                <w:color w:val="000000"/>
                <w:szCs w:val="28"/>
              </w:rPr>
              <w:t>Термин</w:t>
            </w:r>
          </w:p>
        </w:tc>
        <w:tc>
          <w:tcPr>
            <w:tcW w:w="66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
              <w:jc w:val="center"/>
              <w:rPr>
                <w:color w:val="000000"/>
              </w:rPr>
            </w:pPr>
            <w:r>
              <w:rPr>
                <w:b/>
                <w:bCs/>
                <w:color w:val="000000"/>
                <w:szCs w:val="28"/>
              </w:rPr>
              <w:t>Определение</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Автоматизированная обработка персональных данных</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обработка персональных данных с помощью средств вычислительной техники</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АНО ДПО «Техническая академия Росатома», Академия</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Автономная некоммерческая организация дополнительного профессионального образования «Техническая академия Росатома»</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Блокирование персональных данных</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временное прекращение обработки персональных данных (за исключением случаев, когда обработка необходима для уточнения персональных данных)</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Иной субъект персональных данных</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физическое лицо, не состоящее с Академией в трудовых отношениях и не являющееся обучающимся (слушателем)</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Информационная система персональных данных (ИСПДн)</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совокупность содержащихся в базах данных персональных данных и обеспечивающих их обработку информационных технологий и технических средств</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Информация</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сведения (сообщения, данные) независимо от формы их представления</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 xml:space="preserve">Контролер (согласно Регламенту ЕС </w:t>
            </w:r>
            <w:r>
              <w:rPr>
                <w:color w:val="000000"/>
                <w:szCs w:val="28"/>
                <w:lang w:val="en-US"/>
              </w:rPr>
              <w:t>GDPR</w:t>
            </w:r>
            <w:r>
              <w:rPr>
                <w:color w:val="000000"/>
                <w:szCs w:val="28"/>
              </w:rPr>
              <w:t>)</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pPr>
            <w:r>
              <w:rPr>
                <w:color w:val="000000"/>
                <w:shd w:fill="FFFFFF" w:val="clear"/>
              </w:rPr>
              <w:t xml:space="preserve">любое физическое или юридическое лицо, государственный орган, учреждение или другой орган, который самостоятельно или совместно с другими определяет </w:t>
            </w:r>
            <w:r>
              <w:rPr>
                <w:rStyle w:val="Tooltipsall"/>
                <w:color w:val="000000"/>
                <w:shd w:fill="FFFFFF" w:val="clear"/>
              </w:rPr>
              <w:t>цели</w:t>
            </w:r>
            <w:r>
              <w:rPr>
                <w:color w:val="000000"/>
              </w:rPr>
              <w:t xml:space="preserve"> </w:t>
            </w:r>
            <w:r>
              <w:rPr>
                <w:color w:val="000000"/>
                <w:shd w:fill="FFFFFF" w:val="clear"/>
              </w:rPr>
              <w:t xml:space="preserve">и средства </w:t>
            </w:r>
            <w:r>
              <w:rPr>
                <w:rStyle w:val="Tooltipsall"/>
                <w:color w:val="000000"/>
                <w:shd w:fill="FFFFFF" w:val="clear"/>
              </w:rPr>
              <w:t>обработки</w:t>
            </w:r>
            <w:r>
              <w:rPr>
                <w:color w:val="000000"/>
              </w:rPr>
              <w:t xml:space="preserve"> </w:t>
            </w:r>
            <w:r>
              <w:rPr>
                <w:rStyle w:val="Tooltipsall"/>
                <w:color w:val="000000"/>
                <w:shd w:fill="FFFFFF" w:val="clear"/>
              </w:rPr>
              <w:t>персональных данных</w:t>
            </w:r>
            <w:r>
              <w:rPr>
                <w:color w:val="000000"/>
                <w:shd w:fill="FFFFFF" w:val="clear"/>
              </w:rPr>
              <w:t xml:space="preserve">; </w:t>
            </w:r>
            <w:r>
              <w:rPr>
                <w:rStyle w:val="Tooltipsall"/>
                <w:color w:val="000000"/>
                <w:shd w:fill="FFFFFF" w:val="clear"/>
              </w:rPr>
              <w:t>контролер</w:t>
            </w:r>
            <w:r>
              <w:rPr>
                <w:color w:val="000000"/>
              </w:rPr>
              <w:t xml:space="preserve"> </w:t>
            </w:r>
            <w:r>
              <w:rPr>
                <w:color w:val="000000"/>
                <w:shd w:fill="FFFFFF" w:val="clear"/>
              </w:rPr>
              <w:t>или критерии для его определения могут быть установлены законодательством Союза или государства-члена в случаях, когда цели и средства этой обработки определяются законодательством Союза или государства-члена</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Несанкционированный доступ</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доступ к персональным данным или действия с персональными данными, осуществляемые с нарушением установленных правил доступа к персональным данным или действий с ними с применением штатных средств информационной системы или средств, аналогичных им по своему функциональному предназначению и техническим характеристикам</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Обезличивание персональных данных</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Обработка персональных данных</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Обучающийся (слушатель)</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физическое лицо, получающее дополнительное профессиональное образование в форме повышения квалификации/профессиональной переподготовки в АНО ДПО «Техническая академия Росатома», а также физические лица, проходящие обучение в рамках подготовки в качестве персонала зарубежных АЭС</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Оператор</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Персональные данные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left="-15" w:hanging="0"/>
              <w:jc w:val="both"/>
              <w:rPr>
                <w:color w:val="000000"/>
              </w:rPr>
            </w:pPr>
            <w:r>
              <w:rPr>
                <w:color w:val="000000"/>
                <w:szCs w:val="28"/>
              </w:rPr>
              <w:t>любая информация, относящаяся к прямо или косвенно определенному или определяемому физическому лицу (субъекту персональных данных)</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Персональные данные, разрешенные субъектом персональных данных для распространения</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действующим законодательством Российской Федерации</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Cs w:val="28"/>
              </w:rPr>
            </w:pPr>
            <w:r>
              <w:rPr>
                <w:color w:val="000000"/>
                <w:szCs w:val="28"/>
              </w:rPr>
              <w:t>Положение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szCs w:val="28"/>
              </w:rPr>
            </w:pPr>
            <w:r>
              <w:rPr>
                <w:color w:val="000000"/>
                <w:szCs w:val="28"/>
              </w:rPr>
              <w:t>Положение об обеспечении защиты персональных данных при осуществлении их обработки</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bCs/>
                <w:color w:val="000000"/>
                <w:spacing w:val="3"/>
                <w:szCs w:val="28"/>
              </w:rPr>
              <w:t>Предоставление персональных данных</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pacing w:val="3"/>
                <w:szCs w:val="28"/>
              </w:rPr>
              <w:t>действия, направленные на раскрытие персональных данных определенному лицу или определенному кругу лиц</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 xml:space="preserve">Процессор (согласно Регламенту ЕС </w:t>
            </w:r>
            <w:r>
              <w:rPr>
                <w:color w:val="000000"/>
                <w:szCs w:val="28"/>
                <w:lang w:val="en-US"/>
              </w:rPr>
              <w:t>GDPR</w:t>
            </w:r>
            <w:r>
              <w:rPr>
                <w:color w:val="000000"/>
                <w:szCs w:val="28"/>
              </w:rPr>
              <w:t>)</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pPr>
            <w:r>
              <w:rPr>
                <w:color w:val="000000"/>
                <w:shd w:fill="FFFFFF" w:val="clear"/>
              </w:rPr>
              <w:t xml:space="preserve">физическое или юридическое лицо, государственный орган, учреждение или другой орган, который обрабатывает </w:t>
            </w:r>
            <w:r>
              <w:rPr>
                <w:rStyle w:val="Tooltipsall"/>
                <w:color w:val="000000"/>
                <w:shd w:fill="FFFFFF" w:val="clear"/>
              </w:rPr>
              <w:t>персональные данные</w:t>
            </w:r>
            <w:r>
              <w:rPr>
                <w:color w:val="000000"/>
              </w:rPr>
              <w:t xml:space="preserve"> </w:t>
            </w:r>
            <w:r>
              <w:rPr>
                <w:color w:val="000000"/>
                <w:shd w:fill="FFFFFF" w:val="clear"/>
              </w:rPr>
              <w:t xml:space="preserve">от имени и по поручению </w:t>
            </w:r>
            <w:r>
              <w:rPr>
                <w:rStyle w:val="Tooltipsall"/>
                <w:color w:val="000000"/>
                <w:shd w:fill="FFFFFF" w:val="clear"/>
              </w:rPr>
              <w:t>контролера</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Работник</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физическое лицо, вступившее в трудовые отношения (заключившее трудовой Договор) с АНО ДПО «Техническая академия Росатома»</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Работник ОПДн</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работник АНО ДПО «Техническая академия Росатома», участвующий в обработке персональных данных согласно должностной инструкции</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Распространение персональных данных</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left="-15" w:firstLine="15"/>
              <w:jc w:val="both"/>
              <w:rPr>
                <w:color w:val="000000"/>
              </w:rPr>
            </w:pPr>
            <w:r>
              <w:rPr>
                <w:color w:val="000000"/>
                <w:spacing w:val="3"/>
                <w:szCs w:val="28"/>
              </w:rPr>
              <w:t xml:space="preserve">действия, направленные на раскрытие </w:t>
            </w:r>
            <w:r>
              <w:rPr>
                <w:color w:val="000000"/>
                <w:szCs w:val="28"/>
              </w:rPr>
              <w:t>персональных данных неопределенному кругу лиц. Молчание или бездействие субъекта персональных данных ни при каких обстоятельствах не может считаться согласием на обработку персональных данных,</w:t>
            </w:r>
            <w:r>
              <w:rPr>
                <w:color w:val="000000"/>
                <w:spacing w:val="3"/>
                <w:szCs w:val="28"/>
              </w:rPr>
              <w:t xml:space="preserve"> разрешенных субъектом персональных данных для распространения</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Субъект персональных данных</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физическое лицо, которое прямо или косвенно определено или определяемо с помощью персональных данных</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Трансграничная передача персональных данных</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Уничтожение персональных данных</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tc>
      </w:tr>
      <w:tr>
        <w:trPr/>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Cs w:val="28"/>
              </w:rPr>
            </w:pPr>
            <w:r>
              <w:rPr>
                <w:color w:val="000000"/>
                <w:szCs w:val="28"/>
              </w:rPr>
              <w:t>Уполномоченный орган по защите прав субъектов ПДн</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szCs w:val="28"/>
              </w:rPr>
            </w:pPr>
            <w:r>
              <w:rPr>
                <w:color w:val="000000"/>
                <w:szCs w:val="28"/>
              </w:rPr>
              <w:t>Федеральная служба по надзору в сфере связи, информационных технологий и массовых коммуникаций (Роскомнадзор)</w:t>
            </w:r>
          </w:p>
        </w:tc>
      </w:tr>
    </w:tbl>
    <w:p>
      <w:pPr>
        <w:pStyle w:val="22"/>
        <w:numPr>
          <w:ilvl w:val="1"/>
          <w:numId w:val="1"/>
        </w:numPr>
        <w:rPr/>
      </w:pPr>
      <w:bookmarkStart w:id="25" w:name="_Toc55715960"/>
      <w:bookmarkStart w:id="26" w:name="_Toc55716030"/>
      <w:bookmarkStart w:id="27" w:name="_Toc96145952"/>
      <w:bookmarkStart w:id="28" w:name="_Toc55716059"/>
      <w:r>
        <w:rPr/>
        <w:t>В настоящем документе используются следующие сокращения (обозначения) с соответствующими расшифровками:</w:t>
      </w:r>
      <w:bookmarkEnd w:id="25"/>
      <w:bookmarkEnd w:id="26"/>
      <w:bookmarkEnd w:id="27"/>
      <w:bookmarkEnd w:id="28"/>
    </w:p>
    <w:tbl>
      <w:tblPr>
        <w:tblW w:w="5000" w:type="pct"/>
        <w:jc w:val="left"/>
        <w:tblInd w:w="0" w:type="dxa"/>
        <w:tblLayout w:type="fixed"/>
        <w:tblCellMar>
          <w:top w:w="0" w:type="dxa"/>
          <w:left w:w="108" w:type="dxa"/>
          <w:bottom w:w="0" w:type="dxa"/>
          <w:right w:w="108" w:type="dxa"/>
        </w:tblCellMar>
        <w:tblLook w:val="0000" w:noVBand="0" w:noHBand="0" w:lastColumn="0" w:firstColumn="0" w:lastRow="0" w:firstRow="0"/>
      </w:tblPr>
      <w:tblGrid>
        <w:gridCol w:w="2874"/>
        <w:gridCol w:w="6762"/>
      </w:tblGrid>
      <w:tr>
        <w:trPr>
          <w:tblHeader w:val="true"/>
          <w:trHeight w:val="200" w:hRule="atLeast"/>
        </w:trPr>
        <w:tc>
          <w:tcPr>
            <w:tcW w:w="2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b/>
                <w:color w:val="000000"/>
                <w:szCs w:val="28"/>
              </w:rPr>
              <w:t xml:space="preserve">Сокращение </w:t>
              <w:br/>
              <w:t>(обозначение)</w:t>
            </w:r>
          </w:p>
        </w:tc>
        <w:tc>
          <w:tcPr>
            <w:tcW w:w="6762"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color w:val="000000"/>
              </w:rPr>
            </w:pPr>
            <w:r>
              <w:rPr>
                <w:b/>
                <w:color w:val="000000"/>
                <w:szCs w:val="28"/>
              </w:rPr>
              <w:t>Расшифровка</w:t>
              <w:br/>
              <w:t>(пояснение)</w:t>
            </w:r>
          </w:p>
        </w:tc>
      </w:tr>
      <w:tr>
        <w:trPr>
          <w:trHeight w:val="306" w:hRule="atLeast"/>
        </w:trPr>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АРМ</w:t>
            </w:r>
          </w:p>
        </w:tc>
        <w:tc>
          <w:tcPr>
            <w:tcW w:w="676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Автоматизированное рабочее место</w:t>
            </w:r>
          </w:p>
        </w:tc>
      </w:tr>
      <w:tr>
        <w:trPr>
          <w:trHeight w:val="306" w:hRule="atLeast"/>
        </w:trPr>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ИСПДн</w:t>
            </w:r>
          </w:p>
        </w:tc>
        <w:tc>
          <w:tcPr>
            <w:tcW w:w="676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Информационная система персональных данных</w:t>
            </w:r>
          </w:p>
        </w:tc>
      </w:tr>
      <w:tr>
        <w:trPr>
          <w:trHeight w:val="306" w:hRule="atLeast"/>
        </w:trPr>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КСПД</w:t>
            </w:r>
          </w:p>
        </w:tc>
        <w:tc>
          <w:tcPr>
            <w:tcW w:w="676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 xml:space="preserve">Корпоративная сеть передачи данных </w:t>
            </w:r>
            <w:r>
              <w:rPr>
                <w:color w:val="000000"/>
              </w:rPr>
              <w:t>–</w:t>
            </w:r>
            <w:r>
              <w:rPr>
                <w:color w:val="000000"/>
                <w:szCs w:val="28"/>
              </w:rPr>
              <w:t xml:space="preserve"> </w:t>
            </w:r>
            <w:r>
              <w:rPr>
                <w:color w:val="000000"/>
                <w:szCs w:val="28"/>
                <w:shd w:fill="FFFFFF" w:val="clear"/>
              </w:rPr>
              <w:t xml:space="preserve">система, которая обеспечивает передачу информации между различными приложениями, используемыми в компании, </w:t>
            </w:r>
            <w:r>
              <w:rPr>
                <w:color w:val="000000"/>
                <w:shd w:fill="FFFFFF" w:val="clear"/>
              </w:rPr>
              <w:t>объединяет офисы, подразделения и другие структуры, находящиеся на значительном удалении друг от друга</w:t>
            </w:r>
          </w:p>
        </w:tc>
      </w:tr>
      <w:tr>
        <w:trPr>
          <w:trHeight w:val="306" w:hRule="atLeast"/>
        </w:trPr>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ЛНА</w:t>
            </w:r>
          </w:p>
        </w:tc>
        <w:tc>
          <w:tcPr>
            <w:tcW w:w="676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Локальный нормативный акт</w:t>
            </w:r>
          </w:p>
        </w:tc>
      </w:tr>
      <w:tr>
        <w:trPr>
          <w:trHeight w:val="306" w:hRule="atLeast"/>
        </w:trPr>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ПДн</w:t>
            </w:r>
          </w:p>
        </w:tc>
        <w:tc>
          <w:tcPr>
            <w:tcW w:w="676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rPr>
              <w:t>Персональные данные</w:t>
            </w:r>
          </w:p>
        </w:tc>
      </w:tr>
      <w:tr>
        <w:trPr>
          <w:trHeight w:val="306" w:hRule="atLeast"/>
        </w:trPr>
        <w:tc>
          <w:tcPr>
            <w:tcW w:w="28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rPr>
            </w:pPr>
            <w:r>
              <w:rPr>
                <w:color w:val="000000"/>
                <w:szCs w:val="28"/>
              </w:rPr>
              <w:t>Регламент ЕС (GDPR)</w:t>
            </w:r>
          </w:p>
        </w:tc>
        <w:tc>
          <w:tcPr>
            <w:tcW w:w="67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firstLine="7"/>
              <w:jc w:val="both"/>
              <w:rPr>
                <w:color w:val="000000"/>
              </w:rPr>
            </w:pPr>
            <w:r>
              <w:rPr>
                <w:color w:val="000000"/>
                <w:szCs w:val="28"/>
              </w:rPr>
              <w:t>Регламент Европейского Парламента и Совета Европейского Союза № 2016/679 от 27 апреля 2016г. о защите физических лиц при обработке персональных данных и о свободном обращении таких данных, а также об отмене Директивы 95/46/ЕС (Общий Регламент о защите персональных данных / General Data Protection Regulation /GDPR)</w:t>
            </w:r>
          </w:p>
        </w:tc>
      </w:tr>
      <w:tr>
        <w:trPr>
          <w:trHeight w:val="306" w:hRule="atLeast"/>
        </w:trPr>
        <w:tc>
          <w:tcPr>
            <w:tcW w:w="28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rPr>
            </w:pPr>
            <w:r>
              <w:rPr>
                <w:color w:val="000000"/>
                <w:szCs w:val="28"/>
              </w:rPr>
              <w:t>ФЗ-152</w:t>
            </w:r>
          </w:p>
        </w:tc>
        <w:tc>
          <w:tcPr>
            <w:tcW w:w="67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firstLine="7"/>
              <w:jc w:val="both"/>
              <w:rPr>
                <w:color w:val="000000"/>
              </w:rPr>
            </w:pPr>
            <w:r>
              <w:rPr>
                <w:color w:val="000000"/>
                <w:szCs w:val="28"/>
              </w:rPr>
              <w:t>Федеральный закон от 27 июля 2006 г. № 152-ФЗ «О персональных данных»</w:t>
            </w:r>
          </w:p>
        </w:tc>
      </w:tr>
      <w:tr>
        <w:trPr>
          <w:trHeight w:val="306" w:hRule="atLeast"/>
        </w:trPr>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szCs w:val="28"/>
              </w:rPr>
              <w:t>ФИС ФРДО</w:t>
            </w:r>
          </w:p>
        </w:tc>
        <w:tc>
          <w:tcPr>
            <w:tcW w:w="676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
              <w:jc w:val="both"/>
              <w:rPr>
                <w:color w:val="000000"/>
              </w:rPr>
            </w:pPr>
            <w:r>
              <w:rPr>
                <w:color w:val="000000"/>
                <w:szCs w:val="28"/>
                <w:shd w:fill="FFFFFF" w:val="clear"/>
              </w:rPr>
              <w:t>Федеральная информационная система «Федеральный реестр сведений о документах об образовании и (или) о квалификации, документах об обучении»</w:t>
            </w:r>
          </w:p>
        </w:tc>
      </w:tr>
    </w:tbl>
    <w:p>
      <w:pPr>
        <w:pStyle w:val="1"/>
        <w:rPr/>
      </w:pPr>
      <w:bookmarkStart w:id="29" w:name="_Toc150263810"/>
      <w:bookmarkStart w:id="30" w:name="_Toc145919139"/>
      <w:bookmarkStart w:id="31" w:name="_Toc100588928"/>
      <w:bookmarkStart w:id="32" w:name="_Ref99535566"/>
      <w:r>
        <w:rPr/>
        <w:t>Цели и принципы обработки ПДн</w:t>
      </w:r>
      <w:bookmarkEnd w:id="29"/>
      <w:bookmarkEnd w:id="30"/>
      <w:bookmarkEnd w:id="31"/>
      <w:bookmarkEnd w:id="32"/>
    </w:p>
    <w:p>
      <w:pPr>
        <w:pStyle w:val="22"/>
        <w:numPr>
          <w:ilvl w:val="1"/>
          <w:numId w:val="1"/>
        </w:numPr>
        <w:rPr/>
      </w:pPr>
      <w:r>
        <w:rPr/>
        <w:t xml:space="preserve">Академия, осуществляя обработку ПДн работников Академии и иных Субъектов ПДн, не состоящих с Академией в трудовых отношениях (обучающиеся (слушатели), иные физические лица), является Оператором ПДн (в соответствии с ФЗ-152), а также Контролером (в соответствии с Регламентом ЕС (GDPR). </w:t>
      </w:r>
    </w:p>
    <w:p>
      <w:pPr>
        <w:pStyle w:val="22"/>
        <w:numPr>
          <w:ilvl w:val="1"/>
          <w:numId w:val="1"/>
        </w:numPr>
        <w:rPr/>
      </w:pPr>
      <w:r>
        <w:rPr/>
        <w:t>Обработка ПДн в Академии осуществляется с учетом необходимости обеспечения защиты прав и свобод работников, обучающихся (слушателей) и других Субъектов ПДн, в том числе защиты права на неприкосновенность частной жизни, личную и семейную тайну, на основе следующих принципов</w:t>
      </w:r>
      <w:r>
        <w:rPr>
          <w:szCs w:val="28"/>
        </w:rPr>
        <w:t>:</w:t>
      </w:r>
    </w:p>
    <w:p>
      <w:pPr>
        <w:pStyle w:val="Style29"/>
        <w:numPr>
          <w:ilvl w:val="0"/>
          <w:numId w:val="7"/>
        </w:numPr>
        <w:ind w:left="993" w:hanging="284"/>
        <w:rPr/>
      </w:pPr>
      <w:r>
        <w:rPr/>
        <w:t>обработка ПДн осуществляется в Академии на законной и справедливой основе;</w:t>
      </w:r>
    </w:p>
    <w:p>
      <w:pPr>
        <w:pStyle w:val="Style29"/>
        <w:numPr>
          <w:ilvl w:val="0"/>
          <w:numId w:val="7"/>
        </w:numPr>
        <w:ind w:left="993" w:hanging="284"/>
        <w:rPr/>
      </w:pPr>
      <w:r>
        <w:rPr/>
        <w:t>обработка ПДн ограничивается достижением конкретных, заранее определенных и законных целей;</w:t>
      </w:r>
    </w:p>
    <w:p>
      <w:pPr>
        <w:pStyle w:val="Style29"/>
        <w:numPr>
          <w:ilvl w:val="0"/>
          <w:numId w:val="7"/>
        </w:numPr>
        <w:ind w:left="993" w:hanging="284"/>
        <w:rPr/>
      </w:pPr>
      <w:r>
        <w:rPr/>
        <w:t>не допускается обработка ПДн, несовместимая с целями сбора ПДн;</w:t>
      </w:r>
    </w:p>
    <w:p>
      <w:pPr>
        <w:pStyle w:val="Style29"/>
        <w:numPr>
          <w:ilvl w:val="0"/>
          <w:numId w:val="7"/>
        </w:numPr>
        <w:ind w:left="993" w:hanging="284"/>
        <w:rPr/>
      </w:pPr>
      <w:r>
        <w:rPr/>
        <w:t xml:space="preserve">не допускается объединение баз данных, содержащих ПДн, обработка которых осуществляется в целях, несовместимых между собой; </w:t>
      </w:r>
    </w:p>
    <w:p>
      <w:pPr>
        <w:pStyle w:val="Style29"/>
        <w:numPr>
          <w:ilvl w:val="0"/>
          <w:numId w:val="7"/>
        </w:numPr>
        <w:ind w:left="993" w:hanging="284"/>
        <w:rPr/>
      </w:pPr>
      <w:r>
        <w:rPr/>
        <w:t>обработке подлежат только ПДн, которые отвечают целям их обработки;</w:t>
      </w:r>
    </w:p>
    <w:p>
      <w:pPr>
        <w:pStyle w:val="Style29"/>
        <w:numPr>
          <w:ilvl w:val="0"/>
          <w:numId w:val="7"/>
        </w:numPr>
        <w:ind w:left="993" w:hanging="284"/>
        <w:rPr/>
      </w:pPr>
      <w:r>
        <w:rPr/>
        <w:t xml:space="preserve">содержание и объем обрабатываемых ПДн соответствует заявленным целям обработки; </w:t>
      </w:r>
    </w:p>
    <w:p>
      <w:pPr>
        <w:pStyle w:val="Style29"/>
        <w:numPr>
          <w:ilvl w:val="0"/>
          <w:numId w:val="7"/>
        </w:numPr>
        <w:ind w:left="993" w:hanging="284"/>
        <w:rPr/>
      </w:pPr>
      <w:r>
        <w:rPr/>
        <w:t xml:space="preserve">не допускается избыточность обрабатываемых ПДн по отношению к заявленным целям их обработки; </w:t>
      </w:r>
    </w:p>
    <w:p>
      <w:pPr>
        <w:pStyle w:val="Style29"/>
        <w:numPr>
          <w:ilvl w:val="0"/>
          <w:numId w:val="7"/>
        </w:numPr>
        <w:ind w:left="993" w:hanging="284"/>
        <w:rPr/>
      </w:pPr>
      <w:r>
        <w:rPr/>
        <w:t>при обработке ПДн обеспечиваются точность ПДн, их достаточность, а в необходимых случаях, и актуальность по отношению к целям обработки ПДн;</w:t>
      </w:r>
    </w:p>
    <w:p>
      <w:pPr>
        <w:pStyle w:val="Style29"/>
        <w:numPr>
          <w:ilvl w:val="0"/>
          <w:numId w:val="7"/>
        </w:numPr>
        <w:ind w:left="993" w:hanging="284"/>
        <w:rPr/>
      </w:pPr>
      <w:r>
        <w:rPr/>
        <w:t>Академией принимаются необходимые меры либо обеспечивается их принятие по удалению или уточнению неполных или неточных ПДн;</w:t>
      </w:r>
    </w:p>
    <w:p>
      <w:pPr>
        <w:pStyle w:val="Style29"/>
        <w:numPr>
          <w:ilvl w:val="0"/>
          <w:numId w:val="7"/>
        </w:numPr>
        <w:ind w:left="993" w:hanging="284"/>
        <w:rPr/>
      </w:pPr>
      <w:r>
        <w:rPr/>
        <w:t>хранение ПДн осуществляется в форме, позволяющей определить Субъекта ПДн, не дольше, чем того требуют цели обработки ПДн, если срок хранения ПДн не установлен федеральным законом, договором, стороной которого является Субъект ПДн;</w:t>
      </w:r>
    </w:p>
    <w:p>
      <w:pPr>
        <w:pStyle w:val="Style29"/>
        <w:numPr>
          <w:ilvl w:val="0"/>
          <w:numId w:val="7"/>
        </w:numPr>
        <w:ind w:left="993" w:hanging="284"/>
        <w:rPr/>
      </w:pPr>
      <w:r>
        <w:rPr/>
        <w:t>обрабатываемые ПДн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ФЗ-152.</w:t>
      </w:r>
    </w:p>
    <w:p>
      <w:pPr>
        <w:pStyle w:val="22"/>
        <w:numPr>
          <w:ilvl w:val="1"/>
          <w:numId w:val="1"/>
        </w:numPr>
        <w:rPr/>
      </w:pPr>
      <w:r>
        <w:rPr/>
        <w:t xml:space="preserve">ПДн обрабатываются в Академии в целях: </w:t>
      </w:r>
    </w:p>
    <w:p>
      <w:pPr>
        <w:pStyle w:val="Style29"/>
        <w:numPr>
          <w:ilvl w:val="0"/>
          <w:numId w:val="7"/>
        </w:numPr>
        <w:tabs>
          <w:tab w:val="left" w:pos="851" w:leader="none"/>
          <w:tab w:val="left" w:pos="993" w:leader="none"/>
        </w:tabs>
        <w:ind w:left="993" w:hanging="284"/>
        <w:rPr/>
      </w:pPr>
      <w:r>
        <w:rPr/>
        <w:t xml:space="preserve">обеспечения соблюдения Конституции Российской Федерации, законодательных и иных нормативных правовых актов Российской Федерации, ЛНА Академии; </w:t>
      </w:r>
    </w:p>
    <w:p>
      <w:pPr>
        <w:pStyle w:val="Style29"/>
        <w:numPr>
          <w:ilvl w:val="0"/>
          <w:numId w:val="7"/>
        </w:numPr>
        <w:tabs>
          <w:tab w:val="left" w:pos="851" w:leader="none"/>
          <w:tab w:val="left" w:pos="993" w:leader="none"/>
        </w:tabs>
        <w:ind w:left="993" w:hanging="284"/>
        <w:rPr/>
      </w:pPr>
      <w:r>
        <w:rPr/>
        <w:t>осуществления функций, полномочий и обязанностей, возложенных законодательством Российской Федерации на Академию, в том числе по предоставлению ПДн в органы государственной власти, в Пенсионный фонд Российской Федерации, в Фонд социального страхования Российской Федерации, в Федеральный фонд обязательного медицинского страхования, а также в иные государственные органы;</w:t>
      </w:r>
    </w:p>
    <w:p>
      <w:pPr>
        <w:pStyle w:val="Style29"/>
        <w:numPr>
          <w:ilvl w:val="0"/>
          <w:numId w:val="7"/>
        </w:numPr>
        <w:tabs>
          <w:tab w:val="left" w:pos="851" w:leader="none"/>
          <w:tab w:val="left" w:pos="993" w:leader="none"/>
        </w:tabs>
        <w:ind w:left="993" w:hanging="284"/>
        <w:rPr/>
      </w:pPr>
      <w:r>
        <w:rPr/>
        <w:t xml:space="preserve">регулирования трудовых отношений с работниками Академии (содействие в трудоустройстве, обучение и продвижение по службе, обеспечение личной безопасности, контроль количества и качества выполняемой работы, обеспечение сохранности имущества); </w:t>
      </w:r>
    </w:p>
    <w:p>
      <w:pPr>
        <w:pStyle w:val="Style29"/>
        <w:numPr>
          <w:ilvl w:val="0"/>
          <w:numId w:val="7"/>
        </w:numPr>
        <w:tabs>
          <w:tab w:val="left" w:pos="851" w:leader="none"/>
          <w:tab w:val="left" w:pos="993" w:leader="none"/>
        </w:tabs>
        <w:ind w:left="993" w:hanging="284"/>
        <w:rPr/>
      </w:pPr>
      <w:r>
        <w:rPr/>
        <w:t xml:space="preserve">предоставления работникам Академии и членам их семей дополнительных гарантий и компенсаций, в том числе добровольного медицинского страхования, медицинского обслуживания и других видов социального обеспечения; </w:t>
      </w:r>
    </w:p>
    <w:p>
      <w:pPr>
        <w:pStyle w:val="Style29"/>
        <w:numPr>
          <w:ilvl w:val="0"/>
          <w:numId w:val="7"/>
        </w:numPr>
        <w:tabs>
          <w:tab w:val="left" w:pos="851" w:leader="none"/>
          <w:tab w:val="left" w:pos="993" w:leader="none"/>
        </w:tabs>
        <w:ind w:left="993" w:hanging="284"/>
        <w:rPr/>
      </w:pPr>
      <w:r>
        <w:rPr/>
        <w:t xml:space="preserve">защиты жизни, здоровья или иных жизненно важных интересов Субъектов ПДн; </w:t>
      </w:r>
    </w:p>
    <w:p>
      <w:pPr>
        <w:pStyle w:val="Style29"/>
        <w:numPr>
          <w:ilvl w:val="0"/>
          <w:numId w:val="7"/>
        </w:numPr>
        <w:tabs>
          <w:tab w:val="left" w:pos="851" w:leader="none"/>
          <w:tab w:val="left" w:pos="993" w:leader="none"/>
        </w:tabs>
        <w:ind w:left="993" w:hanging="284"/>
        <w:rPr/>
      </w:pPr>
      <w:r>
        <w:rPr/>
        <w:t>подготовки, заключения, исполнения и прекращения договоров с контрагентами и иными лицами в случаях, предусмотренных действующим законодательством и Уставом Академии;</w:t>
      </w:r>
    </w:p>
    <w:p>
      <w:pPr>
        <w:pStyle w:val="Style29"/>
        <w:numPr>
          <w:ilvl w:val="0"/>
          <w:numId w:val="7"/>
        </w:numPr>
        <w:tabs>
          <w:tab w:val="left" w:pos="851" w:leader="none"/>
          <w:tab w:val="left" w:pos="993" w:leader="none"/>
        </w:tabs>
        <w:ind w:left="993" w:hanging="284"/>
        <w:rPr/>
      </w:pPr>
      <w:r>
        <w:rPr/>
        <w:t xml:space="preserve">обеспечения пропускного и внутриобъектового режимов на объектах Академии; </w:t>
      </w:r>
    </w:p>
    <w:p>
      <w:pPr>
        <w:pStyle w:val="Style29"/>
        <w:numPr>
          <w:ilvl w:val="0"/>
          <w:numId w:val="7"/>
        </w:numPr>
        <w:tabs>
          <w:tab w:val="left" w:pos="851" w:leader="none"/>
          <w:tab w:val="left" w:pos="993" w:leader="none"/>
        </w:tabs>
        <w:ind w:left="993" w:hanging="284"/>
        <w:rPr/>
      </w:pPr>
      <w:r>
        <w:rPr/>
        <w:t>формирования справочных материалов для внутреннего информационного обеспечения деятельности Академии, ее филиалов;</w:t>
      </w:r>
    </w:p>
    <w:p>
      <w:pPr>
        <w:pStyle w:val="Style29"/>
        <w:numPr>
          <w:ilvl w:val="0"/>
          <w:numId w:val="7"/>
        </w:numPr>
        <w:tabs>
          <w:tab w:val="left" w:pos="851" w:leader="none"/>
          <w:tab w:val="left" w:pos="993" w:leader="none"/>
        </w:tabs>
        <w:ind w:left="993" w:hanging="284"/>
        <w:rPr/>
      </w:pPr>
      <w:r>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 об исполнительном производстве;</w:t>
      </w:r>
    </w:p>
    <w:p>
      <w:pPr>
        <w:pStyle w:val="Style29"/>
        <w:numPr>
          <w:ilvl w:val="0"/>
          <w:numId w:val="7"/>
        </w:numPr>
        <w:tabs>
          <w:tab w:val="left" w:pos="851" w:leader="none"/>
          <w:tab w:val="left" w:pos="993" w:leader="none"/>
        </w:tabs>
        <w:ind w:left="993" w:hanging="284"/>
        <w:rPr/>
      </w:pPr>
      <w:r>
        <w:rPr/>
        <w:t>осуществления прав и законных интересов Академии в рамках осуществления видов деятельности, предусмотренных Уставом и иными ЛНА Академии, или третьих лиц, либо достижения общественно значимых целей;</w:t>
      </w:r>
    </w:p>
    <w:p>
      <w:pPr>
        <w:pStyle w:val="Style29"/>
        <w:numPr>
          <w:ilvl w:val="0"/>
          <w:numId w:val="7"/>
        </w:numPr>
        <w:tabs>
          <w:tab w:val="left" w:pos="851" w:leader="none"/>
          <w:tab w:val="left" w:pos="993" w:leader="none"/>
        </w:tabs>
        <w:ind w:left="993" w:hanging="284"/>
        <w:rPr/>
      </w:pPr>
      <w:r>
        <w:rPr/>
        <w:t>оказания образовательных услуг, в том числе предоставления сведений о документах об образовании и (или) о квалификации, документах об обучении в ФИС ФРДО;</w:t>
      </w:r>
    </w:p>
    <w:p>
      <w:pPr>
        <w:pStyle w:val="Style29"/>
        <w:numPr>
          <w:ilvl w:val="0"/>
          <w:numId w:val="7"/>
        </w:numPr>
        <w:tabs>
          <w:tab w:val="left" w:pos="851" w:leader="none"/>
          <w:tab w:val="left" w:pos="993" w:leader="none"/>
        </w:tabs>
        <w:ind w:left="993" w:hanging="284"/>
        <w:rPr>
          <w:color w:val="000000"/>
        </w:rPr>
      </w:pPr>
      <w:r>
        <w:rPr/>
        <w:t>в иных законных</w:t>
      </w:r>
      <w:r>
        <w:rPr>
          <w:color w:val="000000"/>
        </w:rPr>
        <w:t xml:space="preserve"> целях. </w:t>
      </w:r>
    </w:p>
    <w:p>
      <w:pPr>
        <w:pStyle w:val="1"/>
        <w:rPr/>
      </w:pPr>
      <w:bookmarkStart w:id="33" w:name="_Toc150263811"/>
      <w:bookmarkStart w:id="34" w:name="_Toc145919140"/>
      <w:bookmarkStart w:id="35" w:name="_Toc100588929"/>
      <w:r>
        <w:rPr/>
        <w:t>Перечень Субъектов, ПДн которых обрабатываются в Академии</w:t>
      </w:r>
      <w:bookmarkEnd w:id="33"/>
      <w:bookmarkEnd w:id="34"/>
      <w:bookmarkEnd w:id="35"/>
      <w:r>
        <w:rPr/>
        <w:t xml:space="preserve"> </w:t>
      </w:r>
    </w:p>
    <w:p>
      <w:pPr>
        <w:pStyle w:val="22"/>
        <w:numPr>
          <w:ilvl w:val="1"/>
          <w:numId w:val="1"/>
        </w:numPr>
        <w:rPr/>
      </w:pPr>
      <w:r>
        <w:rPr/>
        <w:t xml:space="preserve">В Академии обрабатываются ПДн следующих категорий Субъектов: </w:t>
      </w:r>
    </w:p>
    <w:p>
      <w:pPr>
        <w:pStyle w:val="Style29"/>
        <w:numPr>
          <w:ilvl w:val="0"/>
          <w:numId w:val="7"/>
        </w:numPr>
        <w:ind w:left="993" w:hanging="284"/>
        <w:rPr>
          <w:color w:val="000000"/>
        </w:rPr>
      </w:pPr>
      <w:r>
        <w:rPr>
          <w:color w:val="000000"/>
        </w:rPr>
        <w:t xml:space="preserve">работники Академии и ее филиалов; </w:t>
      </w:r>
    </w:p>
    <w:p>
      <w:pPr>
        <w:pStyle w:val="Style29"/>
        <w:numPr>
          <w:ilvl w:val="0"/>
          <w:numId w:val="7"/>
        </w:numPr>
        <w:ind w:left="993" w:hanging="284"/>
        <w:rPr>
          <w:color w:val="000000"/>
        </w:rPr>
      </w:pPr>
      <w:r>
        <w:rPr>
          <w:color w:val="000000"/>
        </w:rPr>
        <w:t>обучающиеся (слушатели);</w:t>
      </w:r>
    </w:p>
    <w:p>
      <w:pPr>
        <w:pStyle w:val="Style29"/>
        <w:numPr>
          <w:ilvl w:val="0"/>
          <w:numId w:val="7"/>
        </w:numPr>
        <w:ind w:left="993" w:hanging="284"/>
        <w:rPr>
          <w:color w:val="000000"/>
        </w:rPr>
      </w:pPr>
      <w:r>
        <w:rPr>
          <w:color w:val="000000"/>
        </w:rPr>
        <w:t>иные Субъекты ПДн.</w:t>
      </w:r>
    </w:p>
    <w:p>
      <w:pPr>
        <w:pStyle w:val="1"/>
        <w:rPr/>
      </w:pPr>
      <w:bookmarkStart w:id="36" w:name="_Toc150263812"/>
      <w:bookmarkStart w:id="37" w:name="_Toc145919141"/>
      <w:bookmarkStart w:id="38" w:name="_Toc100588930"/>
      <w:r>
        <w:rPr/>
        <w:t>Перечень ПДн, обрабатываемых в Академии</w:t>
      </w:r>
      <w:bookmarkEnd w:id="36"/>
      <w:bookmarkEnd w:id="37"/>
      <w:bookmarkEnd w:id="38"/>
    </w:p>
    <w:p>
      <w:pPr>
        <w:pStyle w:val="22"/>
        <w:numPr>
          <w:ilvl w:val="1"/>
          <w:numId w:val="1"/>
        </w:numPr>
        <w:rPr/>
      </w:pPr>
      <w:r>
        <w:rPr/>
        <w:t xml:space="preserve">Перечень ПДн работников, обучающихся (слушателей) и иных Субъектов ПДн, обрабатываемых в Академии, определяется в соответствии с законодательством Российской Федерации, Регламентом ЕС (GDPR) и ЛНА Академии с учетом целей обработки ПДн, указанных в разделе </w:t>
      </w:r>
      <w:r>
        <w:rPr/>
        <w:fldChar w:fldCharType="begin"/>
      </w:r>
      <w:r>
        <w:rPr/>
        <w:instrText xml:space="preserve"> REF _Ref99535566 \r \h </w:instrText>
      </w:r>
      <w:r>
        <w:rPr/>
        <w:fldChar w:fldCharType="separate"/>
      </w:r>
      <w:r>
        <w:rPr/>
        <w:t>3</w:t>
      </w:r>
      <w:r>
        <w:rPr/>
        <w:fldChar w:fldCharType="end"/>
      </w:r>
      <w:r>
        <w:rPr/>
        <w:t xml:space="preserve"> Положения.</w:t>
      </w:r>
    </w:p>
    <w:p>
      <w:pPr>
        <w:pStyle w:val="22"/>
        <w:numPr>
          <w:ilvl w:val="1"/>
          <w:numId w:val="1"/>
        </w:numPr>
        <w:rPr/>
      </w:pPr>
      <w:r>
        <w:rPr/>
        <w:t xml:space="preserve">Обработка специальных категорий ПДн, касающихся расовой, национальной принадлежности, политических взглядов, религиозных или философских убеждений, интимной жизни, в Академии не допускается. </w:t>
      </w:r>
    </w:p>
    <w:p>
      <w:pPr>
        <w:pStyle w:val="22"/>
        <w:numPr>
          <w:ilvl w:val="1"/>
          <w:numId w:val="1"/>
        </w:numPr>
        <w:rPr/>
      </w:pPr>
      <w:r>
        <w:rPr/>
        <w:t>Обработка биометрических ПДн – сведений, которые характеризуют физиологические и биологические особенности человека, на основании которых можно установить его личность, в Академии допускается только при наличии согласия в письменной форме Субъекта ПДн (</w:t>
      </w:r>
      <w:r>
        <w:rPr/>
        <w:fldChar w:fldCharType="begin"/>
      </w:r>
      <w:r>
        <w:rPr/>
        <w:instrText xml:space="preserve"> REF _Ref150244003 \h </w:instrText>
      </w:r>
      <w:r>
        <w:rPr/>
        <w:fldChar w:fldCharType="separate"/>
      </w:r>
      <w:r>
        <w:rPr/>
        <w:t>Приложение № 4</w:t>
      </w:r>
      <w:r>
        <w:rPr/>
        <w:fldChar w:fldCharType="end"/>
      </w:r>
      <w:r>
        <w:rPr/>
        <w:t xml:space="preserve">) за исключением случаев, предусмотренных законодательством Российской Федерации. </w:t>
      </w:r>
    </w:p>
    <w:p>
      <w:pPr>
        <w:pStyle w:val="22"/>
        <w:numPr>
          <w:ilvl w:val="1"/>
          <w:numId w:val="1"/>
        </w:numPr>
        <w:rPr/>
      </w:pPr>
      <w:r>
        <w:rPr/>
        <w:t>Обработка ПДн, разрешенных Субъектом ПДн для распространения, осуществляется в Академии на основании согласия Субъекта ПДн на распространение (</w:t>
      </w:r>
      <w:r>
        <w:rPr/>
        <w:fldChar w:fldCharType="begin"/>
      </w:r>
      <w:r>
        <w:rPr/>
        <w:instrText xml:space="preserve"> REF _Ref150244017 \h </w:instrText>
      </w:r>
      <w:r>
        <w:rPr/>
        <w:fldChar w:fldCharType="separate"/>
      </w:r>
      <w:r>
        <w:rPr/>
        <w:t>Приложение № 5</w:t>
      </w:r>
      <w:r>
        <w:rPr/>
        <w:fldChar w:fldCharType="end"/>
      </w:r>
      <w:r>
        <w:rPr/>
        <w:t>) с соблюдением установленных Субъектом ПДн запретов и условий на обработку ПДн.</w:t>
      </w:r>
    </w:p>
    <w:p>
      <w:pPr>
        <w:pStyle w:val="1"/>
        <w:rPr/>
      </w:pPr>
      <w:bookmarkStart w:id="39" w:name="_Toc150263813"/>
      <w:bookmarkStart w:id="40" w:name="_Toc145919142"/>
      <w:bookmarkStart w:id="41" w:name="_Toc100588931"/>
      <w:r>
        <w:rPr/>
        <w:t>Функции Академии при осуществлении обработки ПДн</w:t>
      </w:r>
      <w:bookmarkEnd w:id="39"/>
      <w:bookmarkEnd w:id="40"/>
      <w:bookmarkEnd w:id="41"/>
    </w:p>
    <w:p>
      <w:pPr>
        <w:pStyle w:val="22"/>
        <w:numPr>
          <w:ilvl w:val="1"/>
          <w:numId w:val="1"/>
        </w:numPr>
        <w:rPr/>
      </w:pPr>
      <w:r>
        <w:rPr/>
        <w:t>Академия при осуществлении обработки ПДн:</w:t>
      </w:r>
    </w:p>
    <w:p>
      <w:pPr>
        <w:pStyle w:val="Style29"/>
        <w:numPr>
          <w:ilvl w:val="0"/>
          <w:numId w:val="7"/>
        </w:numPr>
        <w:tabs>
          <w:tab w:val="left" w:pos="851" w:leader="none"/>
          <w:tab w:val="left" w:pos="993" w:leader="none"/>
        </w:tabs>
        <w:ind w:left="993" w:hanging="284"/>
        <w:rPr>
          <w:color w:val="000000"/>
        </w:rPr>
      </w:pPr>
      <w:r>
        <w:rPr>
          <w:color w:val="000000"/>
        </w:rPr>
        <w:t xml:space="preserve">принимает меры, необходимые и достаточные для обеспечения выполнения требований законодательства Российской Федерации, Регламента ЕС (GDPR) и ЛНА Академии в области ПДн; </w:t>
      </w:r>
    </w:p>
    <w:p>
      <w:pPr>
        <w:pStyle w:val="Style29"/>
        <w:numPr>
          <w:ilvl w:val="0"/>
          <w:numId w:val="7"/>
        </w:numPr>
        <w:tabs>
          <w:tab w:val="left" w:pos="851" w:leader="none"/>
          <w:tab w:val="left" w:pos="993" w:leader="none"/>
        </w:tabs>
        <w:ind w:left="993" w:hanging="284"/>
        <w:rPr>
          <w:color w:val="000000"/>
        </w:rPr>
      </w:pPr>
      <w:r>
        <w:rPr>
          <w:color w:val="000000"/>
        </w:rPr>
        <w:t xml:space="preserve">принимает правовые, организационные и технические меры для защиты ПДн от неправомерного или случайного доступа к ним, уничтожения, изменения, блокирования, копирования, предоставления, распространения ПДн, а также от иных неправомерных действий в отношении ПДн; </w:t>
      </w:r>
    </w:p>
    <w:p>
      <w:pPr>
        <w:pStyle w:val="Style29"/>
        <w:numPr>
          <w:ilvl w:val="0"/>
          <w:numId w:val="7"/>
        </w:numPr>
        <w:tabs>
          <w:tab w:val="left" w:pos="851" w:leader="none"/>
          <w:tab w:val="left" w:pos="993" w:leader="none"/>
        </w:tabs>
        <w:ind w:left="993" w:hanging="284"/>
        <w:rPr>
          <w:color w:val="000000"/>
        </w:rPr>
      </w:pPr>
      <w:r>
        <w:rPr>
          <w:color w:val="000000"/>
        </w:rPr>
        <w:t>назначает приказом по Академии лицо, ответственное за организацию защиты ПДн в процессе их обработки в Академии, которое обеспечивает:</w:t>
      </w:r>
    </w:p>
    <w:p>
      <w:pPr>
        <w:pStyle w:val="Style35"/>
        <w:numPr>
          <w:ilvl w:val="0"/>
          <w:numId w:val="34"/>
        </w:numPr>
        <w:ind w:left="1276" w:hanging="283"/>
        <w:rPr>
          <w:color w:val="000000"/>
        </w:rPr>
      </w:pPr>
      <w:r>
        <w:rPr>
          <w:color w:val="000000"/>
        </w:rPr>
        <w:t>организацию и осуществление внутреннего контроля за соблюдением структурными подразделениями Академии законодательства Российской Федерации и ЛНА Академии в области ПДн, в том числе требований к защите ПДн;</w:t>
      </w:r>
    </w:p>
    <w:p>
      <w:pPr>
        <w:pStyle w:val="Style35"/>
        <w:numPr>
          <w:ilvl w:val="0"/>
          <w:numId w:val="34"/>
        </w:numPr>
        <w:ind w:left="1276" w:hanging="283"/>
        <w:rPr>
          <w:color w:val="000000"/>
        </w:rPr>
      </w:pPr>
      <w:r>
        <w:rPr>
          <w:color w:val="000000"/>
        </w:rPr>
        <w:t>организацию приема и обработки обращений и запросов Субъектов ПДн или их представителей и осуществление контроля за приемом и обработкой таких обращений и запросов в Академии;</w:t>
      </w:r>
    </w:p>
    <w:p>
      <w:pPr>
        <w:pStyle w:val="Style35"/>
        <w:numPr>
          <w:ilvl w:val="0"/>
          <w:numId w:val="34"/>
        </w:numPr>
        <w:ind w:left="1276" w:hanging="283"/>
        <w:rPr>
          <w:color w:val="000000"/>
        </w:rPr>
      </w:pPr>
      <w:r>
        <w:rPr>
          <w:color w:val="000000"/>
        </w:rPr>
        <w:t>принятие необходимых мер по устранению причин и последствий выявленных фактов нарушения требований законодательства и ЛНА Академии в области ПДн и восстановлению нарушенных прав Субъектов ПДн.</w:t>
      </w:r>
    </w:p>
    <w:p>
      <w:pPr>
        <w:pStyle w:val="Style35"/>
        <w:numPr>
          <w:ilvl w:val="0"/>
          <w:numId w:val="0"/>
        </w:numPr>
        <w:ind w:left="993" w:hanging="0"/>
        <w:rPr>
          <w:color w:val="000000"/>
        </w:rPr>
      </w:pPr>
      <w:r>
        <w:rPr>
          <w:color w:val="000000"/>
        </w:rPr>
        <w:t>Лицо, ответственное за организацию защиты ПДн в процессе их обработки в Академии, вправе привлекать к реализации мер, направленных на безопасную обработку ПДн, работников Академии.</w:t>
      </w:r>
    </w:p>
    <w:p>
      <w:pPr>
        <w:pStyle w:val="1"/>
        <w:rPr/>
      </w:pPr>
      <w:bookmarkStart w:id="42" w:name="_Toc150263814"/>
      <w:bookmarkStart w:id="43" w:name="_Toc145919143"/>
      <w:r>
        <w:rPr/>
        <w:t>Порядок и у</w:t>
      </w:r>
      <w:bookmarkStart w:id="44" w:name="_Toc100588932"/>
      <w:r>
        <w:rPr/>
        <w:t>словия обработки ПДн в Академии</w:t>
      </w:r>
      <w:bookmarkEnd w:id="44"/>
      <w:r>
        <w:rPr/>
        <w:t xml:space="preserve"> и их трансграничная передача</w:t>
      </w:r>
      <w:bookmarkEnd w:id="43"/>
      <w:r>
        <w:rPr/>
        <w:t>.</w:t>
      </w:r>
      <w:bookmarkEnd w:id="42"/>
      <w:r>
        <w:rPr/>
        <w:t xml:space="preserve"> </w:t>
      </w:r>
    </w:p>
    <w:p>
      <w:pPr>
        <w:pStyle w:val="22"/>
        <w:numPr>
          <w:ilvl w:val="1"/>
          <w:numId w:val="1"/>
        </w:numPr>
        <w:rPr/>
      </w:pPr>
      <w:bookmarkStart w:id="45" w:name="_Ref145496999"/>
      <w:r>
        <w:rPr/>
        <w:t xml:space="preserve">Оператор до начала обработки ПДн в соответствии с ч. 1 ст. 22 ФЗ-152 обязан уведомить уполномоченный орган по защите прав Субъектов ПДн (Роскомнадзор) о своем намерении осуществлять обработку ПДн. Уведомление направляется в виде документа на бумажном носителе или в форме электронного документа и подписывается уполномоченным лицом. </w:t>
      </w:r>
      <w:hyperlink r:id="rId8">
        <w:r>
          <w:rPr/>
          <w:t>Уведомление</w:t>
        </w:r>
      </w:hyperlink>
      <w:r>
        <w:rPr/>
        <w:t xml:space="preserve"> должно содержать сведения, перечень которых указан в ч. 3 статьи 22 ФЗ-152.</w:t>
      </w:r>
      <w:bookmarkEnd w:id="45"/>
      <w:r>
        <w:br w:type="page"/>
      </w:r>
    </w:p>
    <w:p>
      <w:pPr>
        <w:pStyle w:val="22"/>
        <w:numPr>
          <w:ilvl w:val="1"/>
          <w:numId w:val="1"/>
        </w:numPr>
        <w:rPr/>
      </w:pPr>
      <w:r>
        <w:rPr/>
        <w:t>Оператор вправе осуществлять без уведомления уполномоченного органа по защите прав Субъектов ПДн обработку ПДн:</w:t>
      </w:r>
    </w:p>
    <w:p>
      <w:pPr>
        <w:pStyle w:val="Style34"/>
        <w:numPr>
          <w:ilvl w:val="0"/>
          <w:numId w:val="33"/>
        </w:numPr>
        <w:ind w:left="993" w:hanging="284"/>
        <w:jc w:val="both"/>
        <w:rPr/>
      </w:pPr>
      <w:r>
        <w:rPr/>
        <w:t>включенных в государственные информационные системы ПДн, созданные в целях защиты безопасности государства и общественного порядка;</w:t>
      </w:r>
    </w:p>
    <w:p>
      <w:pPr>
        <w:pStyle w:val="Style34"/>
        <w:numPr>
          <w:ilvl w:val="0"/>
          <w:numId w:val="33"/>
        </w:numPr>
        <w:ind w:left="993" w:hanging="284"/>
        <w:jc w:val="both"/>
        <w:rPr/>
      </w:pPr>
      <w:r>
        <w:rPr/>
        <w:t>в случае, если Оператор осуществляет деятельность по обработке ПДн исключительно без использования средств автоматизации;</w:t>
      </w:r>
    </w:p>
    <w:p>
      <w:pPr>
        <w:pStyle w:val="Style34"/>
        <w:numPr>
          <w:ilvl w:val="0"/>
          <w:numId w:val="33"/>
        </w:numPr>
        <w:ind w:left="993" w:hanging="284"/>
        <w:jc w:val="both"/>
        <w:rPr/>
      </w:pPr>
      <w:r>
        <w:rPr/>
        <w:t xml:space="preserve">обрабатываемых в случаях, предусмотренных </w:t>
      </w:r>
      <w:r>
        <w:fldChar w:fldCharType="begin"/>
      </w:r>
      <w:r>
        <w:rPr/>
        <w:instrText xml:space="preserve"> HYPERLINK "https://www.consultant.ru/document/cons_doc_LAW_174687/8faa90aeee2c257e861d77c1be20cbef538c4525/" \l "dst4"</w:instrText>
      </w:r>
      <w:r>
        <w:rPr/>
        <w:fldChar w:fldCharType="separate"/>
      </w:r>
      <w:r>
        <w:rPr/>
        <w:t>законодательством</w:t>
      </w:r>
      <w:r>
        <w:rPr/>
        <w:fldChar w:fldCharType="end"/>
      </w:r>
      <w:r>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22"/>
        <w:numPr>
          <w:ilvl w:val="1"/>
          <w:numId w:val="1"/>
        </w:numPr>
        <w:rPr/>
      </w:pPr>
      <w:r>
        <w:rPr/>
        <w:t>Обработка ПДн Академией как Оператором осуществляется с согласия Субъекта ПДн в письменном виде, если иное не предусмотрено законодательством Российской Федерации в области ПДн.</w:t>
      </w:r>
    </w:p>
    <w:p>
      <w:pPr>
        <w:pStyle w:val="22"/>
        <w:numPr>
          <w:ilvl w:val="1"/>
          <w:numId w:val="1"/>
        </w:numPr>
        <w:rPr/>
      </w:pPr>
      <w:r>
        <w:rPr/>
        <w:t>Согласие на обработку ПДн может быть дано Субъектом ПДн или его представителем в любой позволяющей подтвердить факт его получения форме, если иное не установлено федеральным законом.</w:t>
      </w:r>
    </w:p>
    <w:p>
      <w:pPr>
        <w:pStyle w:val="22"/>
        <w:numPr>
          <w:ilvl w:val="1"/>
          <w:numId w:val="1"/>
        </w:numPr>
        <w:rPr/>
      </w:pPr>
      <w:r>
        <w:rPr/>
        <w:t>Равнозначным содержащему собственноручную подпись Субъекта ПДн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w:t>
      </w:r>
    </w:p>
    <w:p>
      <w:pPr>
        <w:pStyle w:val="22"/>
        <w:numPr>
          <w:ilvl w:val="1"/>
          <w:numId w:val="1"/>
        </w:numPr>
        <w:rPr/>
      </w:pPr>
      <w:r>
        <w:rPr/>
        <w:t>В случае получения согласия на обработку ПДн от представителя Субъекта ПДн, полномочия данного представителя на дачу согласия от имени Субъекта ПДн проверяются Оператором – Академией.</w:t>
      </w:r>
    </w:p>
    <w:p>
      <w:pPr>
        <w:pStyle w:val="22"/>
        <w:numPr>
          <w:ilvl w:val="1"/>
          <w:numId w:val="1"/>
        </w:numPr>
        <w:rPr/>
      </w:pPr>
      <w:r>
        <w:rPr/>
        <w:t>Если предоставление ПДн является обязательным в соответствии с федеральным законом, а Субъект ПДн отказывается их предоставлять, то Оператор обязан разъяснить Субъекту ПДн юридические последствия отказа предоставить его ПДн и (или) дать согласие на их обработку с обязательным заполнением Субъектом ПДн соответствующей Формы, согласно приложению (</w:t>
      </w:r>
      <w:r>
        <w:rPr/>
        <w:fldChar w:fldCharType="begin"/>
      </w:r>
      <w:r>
        <w:rPr/>
        <w:instrText xml:space="preserve"> REF _Ref150243768 \h </w:instrText>
      </w:r>
      <w:r>
        <w:rPr/>
        <w:fldChar w:fldCharType="separate"/>
      </w:r>
      <w:r>
        <w:rPr/>
        <w:t>Приложение № 6</w:t>
      </w:r>
      <w:r>
        <w:rPr/>
        <w:fldChar w:fldCharType="end"/>
      </w:r>
      <w:r>
        <w:rPr/>
        <w:t>).</w:t>
      </w:r>
    </w:p>
    <w:p>
      <w:pPr>
        <w:pStyle w:val="22"/>
        <w:numPr>
          <w:ilvl w:val="1"/>
          <w:numId w:val="1"/>
        </w:numPr>
        <w:rPr/>
      </w:pPr>
      <w:r>
        <w:rPr/>
        <w:t>Согласие в письменной форме Субъекта ПДн на обработку его ПДн должно быть заполнено им собственноручно и включать в себя сведения, предусмотренные частью 4 статьи 9 ФЗ-152, и может быть направлено Субъектом ПДн в адрес Академии в произвольной форме либо по форме соответствующих приложений (</w:t>
      </w:r>
      <w:r>
        <w:rPr/>
        <w:fldChar w:fldCharType="begin"/>
      </w:r>
      <w:r>
        <w:rPr/>
        <w:instrText xml:space="preserve"> REF _Ref145658552 \h </w:instrText>
      </w:r>
      <w:r>
        <w:rPr/>
        <w:fldChar w:fldCharType="separate"/>
      </w:r>
      <w:r>
        <w:rPr/>
        <w:t>Приложение № 1</w:t>
      </w:r>
      <w:r>
        <w:rPr/>
        <w:fldChar w:fldCharType="end"/>
      </w:r>
      <w:r>
        <w:rPr/>
        <w:t xml:space="preserve">, </w:t>
      </w:r>
      <w:r>
        <w:rPr/>
        <w:fldChar w:fldCharType="begin"/>
      </w:r>
      <w:r>
        <w:rPr/>
        <w:instrText xml:space="preserve"> REF _Ref150243778 \h </w:instrText>
      </w:r>
      <w:r>
        <w:rPr/>
        <w:fldChar w:fldCharType="separate"/>
      </w:r>
      <w:r>
        <w:rPr/>
        <w:t>Приложение № 2</w:t>
      </w:r>
      <w:r>
        <w:rPr/>
        <w:fldChar w:fldCharType="end"/>
      </w:r>
      <w:r>
        <w:rPr/>
        <w:t xml:space="preserve">, </w:t>
      </w:r>
      <w:r>
        <w:rPr/>
        <w:fldChar w:fldCharType="begin"/>
      </w:r>
      <w:r>
        <w:rPr/>
        <w:instrText xml:space="preserve"> REF _Ref150243786 \h </w:instrText>
      </w:r>
      <w:r>
        <w:rPr/>
        <w:fldChar w:fldCharType="separate"/>
      </w:r>
      <w:r>
        <w:rPr/>
        <w:t>Приложение № 3</w:t>
      </w:r>
      <w:r>
        <w:rPr/>
        <w:fldChar w:fldCharType="end"/>
      </w:r>
      <w:r>
        <w:rPr/>
        <w:t xml:space="preserve">) к настоящему Положению. </w:t>
      </w:r>
    </w:p>
    <w:p>
      <w:pPr>
        <w:pStyle w:val="22"/>
        <w:numPr>
          <w:ilvl w:val="1"/>
          <w:numId w:val="1"/>
        </w:numPr>
        <w:rPr>
          <w:shd w:fill="FFFF00" w:val="clear"/>
        </w:rPr>
      </w:pPr>
      <w:r>
        <w:rPr/>
        <w:t>При обработке ПДн работников Оператора применяются формы Согласий, содержащиеся в ПЛ-005 «Положение по обработке и защите персональных данных работников АНО ДПО «Техническая академия Росатома».</w:t>
      </w:r>
    </w:p>
    <w:p>
      <w:pPr>
        <w:pStyle w:val="22"/>
        <w:numPr>
          <w:ilvl w:val="1"/>
          <w:numId w:val="1"/>
        </w:numPr>
        <w:rPr/>
      </w:pPr>
      <w:r>
        <w:rPr/>
        <w:t>Случаи, когда согласие на обработку ПДн от Субъекта ПДн не требуется:</w:t>
      </w:r>
    </w:p>
    <w:p>
      <w:pPr>
        <w:pStyle w:val="Style29"/>
        <w:numPr>
          <w:ilvl w:val="0"/>
          <w:numId w:val="7"/>
        </w:numPr>
        <w:tabs>
          <w:tab w:val="left" w:pos="851" w:leader="none"/>
          <w:tab w:val="left" w:pos="993" w:leader="none"/>
        </w:tabs>
        <w:ind w:left="993" w:hanging="284"/>
        <w:rPr/>
      </w:pPr>
      <w:r>
        <w:rPr/>
        <w:t xml:space="preserve">обработка ПДн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Академию функций, полномочий и обязанностей; </w:t>
      </w:r>
    </w:p>
    <w:p>
      <w:pPr>
        <w:pStyle w:val="Style29"/>
        <w:numPr>
          <w:ilvl w:val="0"/>
          <w:numId w:val="7"/>
        </w:numPr>
        <w:tabs>
          <w:tab w:val="left" w:pos="851" w:leader="none"/>
          <w:tab w:val="left" w:pos="993" w:leader="none"/>
        </w:tabs>
        <w:ind w:left="993" w:hanging="284"/>
        <w:rPr/>
      </w:pPr>
      <w:r>
        <w:rPr/>
        <w:t>обработка ПДн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pPr>
        <w:pStyle w:val="Style29"/>
        <w:numPr>
          <w:ilvl w:val="0"/>
          <w:numId w:val="7"/>
        </w:numPr>
        <w:tabs>
          <w:tab w:val="left" w:pos="851" w:leader="none"/>
          <w:tab w:val="left" w:pos="993" w:leader="none"/>
        </w:tabs>
        <w:ind w:left="993" w:hanging="284"/>
        <w:rPr/>
      </w:pPr>
      <w:r>
        <w:rPr/>
        <w:t>обработка ПДн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pPr>
        <w:pStyle w:val="Style29"/>
        <w:numPr>
          <w:ilvl w:val="0"/>
          <w:numId w:val="7"/>
        </w:numPr>
        <w:tabs>
          <w:tab w:val="left" w:pos="851" w:leader="none"/>
          <w:tab w:val="left" w:pos="993" w:leader="none"/>
        </w:tabs>
        <w:ind w:left="993" w:hanging="284"/>
        <w:rPr/>
      </w:pPr>
      <w:r>
        <w:rPr/>
        <w:t>обработка ПДн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9">
        <w:r>
          <w:rPr/>
          <w:t>Федеральным законом от 27 июля 2010 года № 210-ФЗ «Об организации предоставления государственных и муниципальных услуг»</w:t>
        </w:r>
      </w:hyperlink>
      <w:r>
        <w:rPr/>
        <w:t>, включая регистрацию Субъекта ПДн на едином портале государственных и муниципальных услуг и (или) региональных порталах государственных и муниципальных услуг;</w:t>
      </w:r>
    </w:p>
    <w:p>
      <w:pPr>
        <w:pStyle w:val="Style29"/>
        <w:numPr>
          <w:ilvl w:val="0"/>
          <w:numId w:val="7"/>
        </w:numPr>
        <w:tabs>
          <w:tab w:val="left" w:pos="851" w:leader="none"/>
          <w:tab w:val="left" w:pos="993" w:leader="none"/>
        </w:tabs>
        <w:ind w:left="993" w:hanging="284"/>
        <w:rPr/>
      </w:pPr>
      <w:r>
        <w:rPr/>
        <w:t xml:space="preserve">обработка ПДн необходима для исполнения договора, стороной которого либо выгодоприобретателем или поручителем по которому является Субъект ПДн, а также для заключения договора по инициативе Субъекта ПДн или договора, по которому Субъект ПДн будет являться выгодоприобретателем или поручителем. Заключаемый с Субъектом ПДн договор не может содержать положения, ограничивающие права и свободы Субъекта ПДн, устанавливающие случаи обработки ПДн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ПДн; </w:t>
      </w:r>
    </w:p>
    <w:p>
      <w:pPr>
        <w:pStyle w:val="Style29"/>
        <w:numPr>
          <w:ilvl w:val="0"/>
          <w:numId w:val="7"/>
        </w:numPr>
        <w:tabs>
          <w:tab w:val="left" w:pos="851" w:leader="none"/>
          <w:tab w:val="left" w:pos="993" w:leader="none"/>
        </w:tabs>
        <w:ind w:left="993" w:hanging="284"/>
        <w:rPr/>
      </w:pPr>
      <w:r>
        <w:rPr/>
        <w:t xml:space="preserve">обработка ПДн необходима для защиты жизни, здоровья или иных жизненно важных интересов Субъекта ПДн, если получение согласия Субъекта ПДн невозможно; </w:t>
      </w:r>
    </w:p>
    <w:p>
      <w:pPr>
        <w:pStyle w:val="Style29"/>
        <w:numPr>
          <w:ilvl w:val="0"/>
          <w:numId w:val="7"/>
        </w:numPr>
        <w:tabs>
          <w:tab w:val="left" w:pos="851" w:leader="none"/>
          <w:tab w:val="left" w:pos="993" w:leader="none"/>
        </w:tabs>
        <w:ind w:left="993" w:hanging="284"/>
        <w:rPr/>
      </w:pPr>
      <w:r>
        <w:rPr/>
        <w:t xml:space="preserve">обработка ПДн необходима для осуществления прав и законных интересов оператора или третьих лиц, в том числе в случаях, предусмотренных Федеральным </w:t>
      </w:r>
      <w:hyperlink r:id="rId10">
        <w:r>
          <w:rPr/>
          <w:t>законом</w:t>
        </w:r>
      </w:hyperlink>
      <w:r>
        <w:rPr/>
        <w:t xml:space="preserve"> от 03.07.2016 №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ПДн; </w:t>
      </w:r>
    </w:p>
    <w:p>
      <w:pPr>
        <w:pStyle w:val="Style29"/>
        <w:numPr>
          <w:ilvl w:val="0"/>
          <w:numId w:val="7"/>
        </w:numPr>
        <w:tabs>
          <w:tab w:val="left" w:pos="851" w:leader="none"/>
          <w:tab w:val="left" w:pos="993" w:leader="none"/>
        </w:tabs>
        <w:ind w:left="993" w:hanging="284"/>
        <w:rPr/>
      </w:pPr>
      <w:r>
        <w:rPr/>
        <w:t xml:space="preserve">обработка ПДн осуществляется в статистических или иных исследовательских целях, за исключением целей продвижения товаров, работ, услуг на рынке, а также в целях политической агитации, при условии обязательного обезличивания ПДн; </w:t>
      </w:r>
    </w:p>
    <w:p>
      <w:pPr>
        <w:pStyle w:val="Style29"/>
        <w:numPr>
          <w:ilvl w:val="0"/>
          <w:numId w:val="7"/>
        </w:numPr>
        <w:tabs>
          <w:tab w:val="left" w:pos="851" w:leader="none"/>
          <w:tab w:val="left" w:pos="993" w:leader="none"/>
        </w:tabs>
        <w:ind w:left="993" w:hanging="284"/>
        <w:rPr/>
      </w:pPr>
      <w:r>
        <w:rPr/>
        <w:t>обработка ПДн необходима для осуществления профессиональной д</w:t>
      </w:r>
      <w:r>
        <w:fldChar w:fldCharType="begin"/>
      </w:r>
      <w:r>
        <w:rPr/>
        <w:instrText xml:space="preserve"> HYPERLINK "https://www.consultant.ru/document/cons_doc_LAW_449634/4825c3688be1f18e21cf69b50f88c45774b23d65/" \l "dst100287"</w:instrText>
      </w:r>
      <w:r>
        <w:rPr/>
        <w:fldChar w:fldCharType="separate"/>
      </w:r>
      <w:r>
        <w:rPr/>
        <w:t>еятельности</w:t>
      </w:r>
      <w:r>
        <w:rPr/>
        <w:fldChar w:fldCharType="end"/>
      </w:r>
      <w:r>
        <w:rP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ПДн;</w:t>
      </w:r>
    </w:p>
    <w:p>
      <w:pPr>
        <w:pStyle w:val="Style29"/>
        <w:numPr>
          <w:ilvl w:val="0"/>
          <w:numId w:val="7"/>
        </w:numPr>
        <w:tabs>
          <w:tab w:val="left" w:pos="851" w:leader="none"/>
          <w:tab w:val="left" w:pos="993" w:leader="none"/>
        </w:tabs>
        <w:ind w:left="993" w:hanging="284"/>
        <w:rPr/>
      </w:pPr>
      <w:r>
        <w:rPr/>
        <w:t>осуществляется обработка ПДн, подлежащих опубликованию или обязательному раскрытию в соответствии с федеральным законом;</w:t>
      </w:r>
    </w:p>
    <w:p>
      <w:pPr>
        <w:pStyle w:val="Style29"/>
        <w:numPr>
          <w:ilvl w:val="0"/>
          <w:numId w:val="7"/>
        </w:numPr>
        <w:tabs>
          <w:tab w:val="left" w:pos="851" w:leader="none"/>
          <w:tab w:val="left" w:pos="993" w:leader="none"/>
        </w:tabs>
        <w:ind w:left="993" w:hanging="284"/>
        <w:rPr/>
      </w:pPr>
      <w:r>
        <w:rPr/>
        <w:t>осуществляется обработка ПДн субъектов, являющихся работниками Академии – членами Профсоюза, в случае обработки ПДн таких Субъектов Профессиональным союзом Академии. При этом Профессиональный союз обязан производить обработку таких ПДн с соблюдением принципа целеполагания, установленного ст. 5 ФЗ-152, а также с соблюдением порядка и условий, предусмотренных Федеральным законом от 12.01.1996 № 10-ФЗ «О профессиональных союзах, их правах и гарантиях деятельности».</w:t>
      </w:r>
    </w:p>
    <w:p>
      <w:pPr>
        <w:pStyle w:val="22"/>
        <w:numPr>
          <w:ilvl w:val="1"/>
          <w:numId w:val="1"/>
        </w:numPr>
        <w:rPr/>
      </w:pPr>
      <w:r>
        <w:rPr/>
        <w:t>Обработка ПДн, содержащихся в обращениях (заявлениях) граждан (Субъектов ПДн), в том числе прилагаемых к ним документах, поступивших непосредственно от граждан или направленных государственным органом, органом местного самоуправления или иным юридическим лицом для рассмотрения по существу, осуществляется без согласия данных Субъектов ПДн в соответствии со статьей 6 ФЗ-152.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филиал Академии или Академию, иному юридическому лицу, в компетенцию которых входит решение поставленных в обращении вопросов, с уведомлением гражданина, направившего обращение, структурным подразделением Академии, принявшим решение о переадресации обращения.</w:t>
      </w:r>
    </w:p>
    <w:p>
      <w:pPr>
        <w:pStyle w:val="22"/>
        <w:numPr>
          <w:ilvl w:val="1"/>
          <w:numId w:val="1"/>
        </w:numPr>
        <w:rPr/>
      </w:pPr>
      <w:r>
        <w:rPr/>
        <w:t xml:space="preserve">В целях внутреннего информационного обеспечения Академия может создавать справочники, адресные книги и другие источники, в которые с письменного согласия Субъекта ПДн, если иное не предусмотрено законодательством Российской Федерации, могут включаться его ПДн. </w:t>
      </w:r>
    </w:p>
    <w:p>
      <w:pPr>
        <w:pStyle w:val="22"/>
        <w:numPr>
          <w:ilvl w:val="1"/>
          <w:numId w:val="1"/>
        </w:numPr>
        <w:rPr/>
      </w:pPr>
      <w:r>
        <w:rPr/>
        <w:t>Академия без согласия Субъекта ПДн не раскрывает третьим лицам и не распространяет ПДн, если иное не предусмотрено ФЗ-152. Для этих целей необходимо получить Согласие Субъекта ПДн на распространение его ПДн (</w:t>
      </w:r>
      <w:r>
        <w:rPr/>
        <w:fldChar w:fldCharType="begin"/>
      </w:r>
      <w:r>
        <w:rPr/>
        <w:instrText xml:space="preserve"> REF _Ref150243768 \h </w:instrText>
      </w:r>
      <w:r>
        <w:rPr/>
        <w:fldChar w:fldCharType="separate"/>
      </w:r>
      <w:r>
        <w:rPr/>
        <w:t>Приложение № 6</w:t>
      </w:r>
      <w:r>
        <w:rPr/>
        <w:fldChar w:fldCharType="end"/>
      </w:r>
      <w:r>
        <w:rPr/>
        <w:t>).</w:t>
      </w:r>
    </w:p>
    <w:p>
      <w:pPr>
        <w:pStyle w:val="22"/>
        <w:numPr>
          <w:ilvl w:val="1"/>
          <w:numId w:val="1"/>
        </w:numPr>
        <w:rPr/>
      </w:pPr>
      <w:r>
        <w:rPr/>
        <w:t xml:space="preserve">Не допускается передача ПДн Субъекта ПДн в коммерческих целях без его письменного согласия. </w:t>
      </w:r>
    </w:p>
    <w:p>
      <w:pPr>
        <w:pStyle w:val="22"/>
        <w:numPr>
          <w:ilvl w:val="1"/>
          <w:numId w:val="1"/>
        </w:numPr>
        <w:rPr/>
      </w:pPr>
      <w:r>
        <w:rPr/>
        <w:t>Передача либо обмен ПДн между отраслевыми организациями должны осуществляться только по защищенным каналам связи с использованием комплекса ViPNet-Гринатом «Деловая почта» или ЕОСДО. Для записи, обработки, хранения и передачи ПДн между подразделениями Академии могут использоваться учтенные машинные носители информации – оптические диски (CD/DVD).</w:t>
      </w:r>
    </w:p>
    <w:p>
      <w:pPr>
        <w:pStyle w:val="22"/>
        <w:numPr>
          <w:ilvl w:val="1"/>
          <w:numId w:val="1"/>
        </w:numPr>
        <w:rPr/>
      </w:pPr>
      <w:bookmarkStart w:id="46" w:name="_Ref145497039"/>
      <w:r>
        <w:rPr/>
        <w:t>Академия вправе поручить обработку ПДн в рамках заключенного Договора другому лицу на основании заключаемого с этим лицом Соглашения о конфиденциальности, приведенному в приложении (</w:t>
      </w:r>
      <w:r>
        <w:rPr/>
        <w:fldChar w:fldCharType="begin"/>
      </w:r>
      <w:r>
        <w:rPr/>
        <w:instrText xml:space="preserve"> REF _Ref150243815 \h </w:instrText>
      </w:r>
      <w:r>
        <w:rPr/>
        <w:fldChar w:fldCharType="separate"/>
      </w:r>
      <w:r>
        <w:rPr/>
        <w:t>Приложение № 7</w:t>
      </w:r>
      <w:r>
        <w:rPr/>
        <w:fldChar w:fldCharType="end"/>
      </w:r>
      <w:r>
        <w:rPr/>
        <w:t>). В случае, если Оператор поручает обработку ПДн другому лицу, ответственность перед Субъектом ПДн за действия указанного лица несет Оператор. Лицо, осуществляющее обработку ПДн по поручению Оператора, несет ответственность перед Оператором. Лицо, осуществляющее обработку ПДн по поручению Оператора, не обязано получать согласие Субъекта ПДн на обработку его ПДн.</w:t>
      </w:r>
      <w:bookmarkEnd w:id="46"/>
    </w:p>
    <w:p>
      <w:pPr>
        <w:pStyle w:val="22"/>
        <w:numPr>
          <w:ilvl w:val="1"/>
          <w:numId w:val="1"/>
        </w:numPr>
        <w:rPr/>
      </w:pPr>
      <w:r>
        <w:rPr/>
        <w:t>В случае, если Оператор поручает обработку ПДн иностранному физическому лицу или иностранному юридическому лицу, ответственность перед Субъектом ПДн за действия указанных лиц несет Оператор и лицо, осуществляющее обработку ПДн по поручению Оператора.</w:t>
      </w:r>
    </w:p>
    <w:p>
      <w:pPr>
        <w:pStyle w:val="22"/>
        <w:numPr>
          <w:ilvl w:val="1"/>
          <w:numId w:val="1"/>
        </w:numPr>
        <w:rPr/>
      </w:pPr>
      <w:r>
        <w:rPr/>
        <w:t>В том случае, когда в приложениях к письму или запросу (создаваемым и обрабатываемым в Академии или ее филиалах) прилагаются документы, содержащие ПДн, в такие письма либо запросы включается фраза следующего содержания: «В связи с тем, что передаваемые документы (информация, сведения) содержат персональные данные, они могут быть использованы лишь в целях, для которых они переданы, с соблюдением требований 152-ФЗ и иных нормативных правовых актов Российской Федерации в области персональных данных».</w:t>
      </w:r>
    </w:p>
    <w:p>
      <w:pPr>
        <w:pStyle w:val="22"/>
        <w:numPr>
          <w:ilvl w:val="1"/>
          <w:numId w:val="1"/>
        </w:numPr>
        <w:rPr/>
      </w:pPr>
      <w:r>
        <w:rPr/>
        <w:t>В том случае, когда в рамках Договора предусмотрен обмен и (или) передача ПДн, в текст Договора включаются фразы, указанные в Рекомендациях по содержанию Договора в случае передачи ПДн, в соответствии с приложением (</w:t>
      </w:r>
      <w:r>
        <w:rPr/>
        <w:fldChar w:fldCharType="begin"/>
      </w:r>
      <w:r>
        <w:rPr/>
        <w:instrText xml:space="preserve"> REF _Ref150243834 \h </w:instrText>
      </w:r>
      <w:r>
        <w:rPr/>
        <w:fldChar w:fldCharType="separate"/>
      </w:r>
      <w:r>
        <w:rPr/>
        <w:t>Приложение № 8</w:t>
      </w:r>
      <w:r>
        <w:rPr/>
        <w:fldChar w:fldCharType="end"/>
      </w:r>
      <w:r>
        <w:rPr/>
        <w:t>).</w:t>
      </w:r>
    </w:p>
    <w:p>
      <w:pPr>
        <w:pStyle w:val="22"/>
        <w:numPr>
          <w:ilvl w:val="1"/>
          <w:numId w:val="1"/>
        </w:numPr>
        <w:rPr/>
      </w:pPr>
      <w:r>
        <w:rPr/>
        <w:t xml:space="preserve">В случае изменения в дальнейшем </w:t>
      </w:r>
      <w:hyperlink r:id="rId11">
        <w:r>
          <w:rPr/>
          <w:t>сведений</w:t>
        </w:r>
      </w:hyperlink>
      <w:r>
        <w:rPr/>
        <w:t>, указанных в Уведомлении (п.</w:t>
      </w:r>
      <w:r>
        <w:rPr/>
        <w:fldChar w:fldCharType="begin"/>
      </w:r>
      <w:r>
        <w:rPr/>
        <w:instrText xml:space="preserve"> REF _Ref145496999 \r \h </w:instrText>
      </w:r>
      <w:r>
        <w:rPr/>
        <w:fldChar w:fldCharType="separate"/>
      </w:r>
      <w:r>
        <w:rPr/>
        <w:t>7.1</w:t>
      </w:r>
      <w:r>
        <w:rPr/>
        <w:fldChar w:fldCharType="end"/>
      </w:r>
      <w:r>
        <w:rPr/>
        <w:t xml:space="preserve"> Положения),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ПДн обо всех произошедших за указанный период изменениях. В случае </w:t>
      </w:r>
      <w:hyperlink r:id="rId12">
        <w:r>
          <w:rPr/>
          <w:t>прекращения</w:t>
        </w:r>
      </w:hyperlink>
      <w:r>
        <w:rPr/>
        <w:t xml:space="preserve"> обработки ПДн Оператор обязан уведомить об этом уполномоченный орган по защите прав Субъектов ПДн в течение десяти рабочих дней с даты прекращения обработки ПДн.</w:t>
      </w:r>
    </w:p>
    <w:p>
      <w:pPr>
        <w:pStyle w:val="22"/>
        <w:numPr>
          <w:ilvl w:val="1"/>
          <w:numId w:val="1"/>
        </w:numPr>
        <w:rPr/>
      </w:pPr>
      <w:r>
        <w:rPr/>
        <w:t>Трансграничная передача ПДн осуществляется в соответствии с ФЗ-152 и международными договорами Российской Федерации на основании согласий Субъектов ПДн на трансграничную передачу их ПДн (</w:t>
      </w:r>
      <w:r>
        <w:rPr/>
        <w:fldChar w:fldCharType="begin"/>
      </w:r>
      <w:r>
        <w:rPr/>
        <w:instrText xml:space="preserve"> REF _Ref150243853 \h </w:instrText>
      </w:r>
      <w:r>
        <w:rPr/>
        <w:fldChar w:fldCharType="separate"/>
      </w:r>
      <w:r>
        <w:rPr/>
        <w:t>Приложение № 9</w:t>
      </w:r>
      <w:r>
        <w:rPr/>
        <w:fldChar w:fldCharType="end"/>
      </w:r>
      <w:r>
        <w:rPr/>
        <w:t>).</w:t>
      </w:r>
    </w:p>
    <w:p>
      <w:pPr>
        <w:pStyle w:val="22"/>
        <w:numPr>
          <w:ilvl w:val="1"/>
          <w:numId w:val="1"/>
        </w:numPr>
        <w:rPr/>
      </w:pPr>
      <w:r>
        <w:rPr/>
        <w:t>Обработка ПДн Субъектов ПДн, находящихся на территории государств – членов Европейского союза, осуществляется в порядке, определенном положениями Регламента ЕС (GDPR), в случаях, когда к деятельности Академии и ее филиалов по обработке ПДн применяются критерии территориального действия Регламента ЕС (GDPR).</w:t>
      </w:r>
    </w:p>
    <w:p>
      <w:pPr>
        <w:pStyle w:val="22"/>
        <w:numPr>
          <w:ilvl w:val="1"/>
          <w:numId w:val="1"/>
        </w:numPr>
        <w:rPr/>
      </w:pPr>
      <w:r>
        <w:rPr/>
        <w:t xml:space="preserve">Уполномоченный орган по защите прав Субъектов ПДн утверждает </w:t>
      </w:r>
      <w:r>
        <w:fldChar w:fldCharType="begin"/>
      </w:r>
      <w:r>
        <w:rPr/>
        <w:instrText xml:space="preserve"> HYPERLINK "http://www.consultant.ru/document/cons_doc_LAW_426970/4ce70334b68f94e273fa4657be175cddca82dfe5/" \l "dst100017"</w:instrText>
      </w:r>
      <w:r>
        <w:rPr/>
        <w:fldChar w:fldCharType="separate"/>
      </w:r>
      <w:r>
        <w:rPr/>
        <w:t>перечень</w:t>
      </w:r>
      <w:r>
        <w:rPr/>
        <w:fldChar w:fldCharType="end"/>
      </w:r>
      <w:r>
        <w:rPr/>
        <w:t xml:space="preserve"> иностранных государств, обеспечивающих адекватную защиту прав Субъектов ПДн.</w:t>
      </w:r>
    </w:p>
    <w:p>
      <w:pPr>
        <w:pStyle w:val="22"/>
        <w:numPr>
          <w:ilvl w:val="1"/>
          <w:numId w:val="1"/>
        </w:numPr>
        <w:rPr/>
      </w:pPr>
      <w:bookmarkStart w:id="47" w:name="_Ref145497049"/>
      <w:r>
        <w:rPr/>
        <w:t xml:space="preserve">В перечень иностранных государств, обеспечивающих адекватную защиту прав Субъектов ПДн, включаются государства, являющиеся сторонами </w:t>
      </w:r>
      <w:hyperlink r:id="rId13">
        <w:r>
          <w:rPr/>
          <w:t>Конвенции</w:t>
        </w:r>
      </w:hyperlink>
      <w:r>
        <w:rPr/>
        <w:t xml:space="preserve"> Совета Европы о защите физических лиц при автоматизированной обработке ПДн, а также иностранные государства, не являющиеся сторонами </w:t>
      </w:r>
      <w:hyperlink r:id="rId14">
        <w:r>
          <w:rPr/>
          <w:t>Конвенции</w:t>
        </w:r>
      </w:hyperlink>
      <w:r>
        <w:rPr/>
        <w:t xml:space="preserve"> Совета Европы о защите физических лиц при автоматизированной обработке ПДн, при условии соответствия положениям указанной </w:t>
      </w:r>
      <w:hyperlink r:id="rId15">
        <w:r>
          <w:rPr/>
          <w:t>Конвенции</w:t>
        </w:r>
      </w:hyperlink>
      <w:r>
        <w:rPr/>
        <w:t xml:space="preserve"> действующих в соответствующем государстве норм права и применяемых мер по обеспечению конфиденциальности и безопасности ПДн при их обработке.</w:t>
      </w:r>
      <w:bookmarkEnd w:id="47"/>
    </w:p>
    <w:p>
      <w:pPr>
        <w:pStyle w:val="22"/>
        <w:numPr>
          <w:ilvl w:val="1"/>
          <w:numId w:val="1"/>
        </w:numPr>
        <w:rPr/>
      </w:pPr>
      <w:r>
        <w:rPr/>
        <w:t>Оператор до начала осуществления деятельности по трансграничной передаче ПДн обязан уведомить уполномоченный орган по защите прав Субъектов ПДн о своем намерении осуществлять трансграничную передачу ПДн.</w:t>
      </w:r>
    </w:p>
    <w:p>
      <w:pPr>
        <w:pStyle w:val="22"/>
        <w:numPr>
          <w:ilvl w:val="1"/>
          <w:numId w:val="1"/>
        </w:numPr>
        <w:rPr/>
      </w:pPr>
      <w:r>
        <w:rPr/>
        <w:t>Указанное уведомление (</w:t>
      </w:r>
      <w:r>
        <w:rPr/>
        <w:fldChar w:fldCharType="begin"/>
      </w:r>
      <w:r>
        <w:rPr/>
        <w:instrText xml:space="preserve"> REF _Ref150243875 \h </w:instrText>
      </w:r>
      <w:r>
        <w:rPr/>
        <w:fldChar w:fldCharType="separate"/>
      </w:r>
      <w:r>
        <w:rPr/>
        <w:t>Приложение № 10</w:t>
      </w:r>
      <w:r>
        <w:rPr/>
        <w:fldChar w:fldCharType="end"/>
      </w:r>
      <w:r>
        <w:rPr/>
        <w:t>) направляется отдельно от уведомления о намерении осуществлять обработку ПДн, указанного в пункте 7.1. Положения.</w:t>
      </w:r>
    </w:p>
    <w:p>
      <w:pPr>
        <w:pStyle w:val="22"/>
        <w:numPr>
          <w:ilvl w:val="1"/>
          <w:numId w:val="1"/>
        </w:numPr>
        <w:rPr/>
      </w:pPr>
      <w:bookmarkStart w:id="48" w:name="_Ref145497093"/>
      <w:r>
        <w:rPr/>
        <w:t>Уведомление, указанное в пункте 7.24 Положения настоящей статьи, направляется в виде документа на бумажном носителе или в форме электронного документа и подписывается уполномоченным</w:t>
      </w:r>
      <w:bookmarkEnd w:id="48"/>
      <w:r>
        <w:rPr/>
        <w:t xml:space="preserve"> лицом. </w:t>
      </w:r>
      <w:r>
        <w:br w:type="page"/>
      </w:r>
    </w:p>
    <w:p>
      <w:pPr>
        <w:pStyle w:val="22"/>
        <w:numPr>
          <w:ilvl w:val="1"/>
          <w:numId w:val="1"/>
        </w:numPr>
        <w:rPr/>
      </w:pPr>
      <w:r>
        <w:rPr/>
        <w:t>Оператор до подачи уведомления о своем намерении осуществлять трансграничную передачу ПДн,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ПДн, следующие сведения:</w:t>
      </w:r>
    </w:p>
    <w:p>
      <w:pPr>
        <w:pStyle w:val="Style34"/>
        <w:numPr>
          <w:ilvl w:val="0"/>
          <w:numId w:val="36"/>
        </w:numPr>
        <w:ind w:left="993" w:hanging="360"/>
        <w:jc w:val="both"/>
        <w:rPr>
          <w:bCs/>
          <w:color w:val="auto"/>
          <w:szCs w:val="24"/>
        </w:rPr>
      </w:pPr>
      <w:bookmarkStart w:id="49" w:name="dst1121"/>
      <w:bookmarkEnd w:id="49"/>
      <w:r>
        <w:rPr>
          <w:bCs/>
          <w:color w:val="auto"/>
          <w:szCs w:val="24"/>
        </w:rPr>
        <w:t>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ПДн, мерах по защите передаваемых ПДн и об условиях прекращения их обработки;</w:t>
      </w:r>
    </w:p>
    <w:p>
      <w:pPr>
        <w:pStyle w:val="Style34"/>
        <w:numPr>
          <w:ilvl w:val="0"/>
          <w:numId w:val="8"/>
        </w:numPr>
        <w:ind w:left="993" w:hanging="360"/>
        <w:jc w:val="both"/>
        <w:rPr>
          <w:bCs/>
          <w:color w:val="auto"/>
          <w:szCs w:val="24"/>
        </w:rPr>
      </w:pPr>
      <w:bookmarkStart w:id="50" w:name="dst1131"/>
      <w:bookmarkEnd w:id="50"/>
      <w:r>
        <w:rPr>
          <w:bCs/>
          <w:color w:val="auto"/>
          <w:szCs w:val="24"/>
        </w:rPr>
        <w:t xml:space="preserve">информация о правовом регулировании в области ПДн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ПДн (в случае, если предполагается осуществление трансграничной передачи ПДн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6">
        <w:r>
          <w:rPr>
            <w:bCs/>
            <w:color w:val="auto"/>
            <w:szCs w:val="24"/>
          </w:rPr>
          <w:t>Конвенции</w:t>
        </w:r>
      </w:hyperlink>
      <w:r>
        <w:rPr>
          <w:bCs/>
          <w:color w:val="auto"/>
          <w:szCs w:val="24"/>
        </w:rPr>
        <w:t xml:space="preserve"> Совета Европы о защите физических лиц при автоматизированной обработке ПДн и не включенного в перечень иностранных государств, обеспечивающих адекватную защиту прав Субъектов ПДн);</w:t>
      </w:r>
    </w:p>
    <w:p>
      <w:pPr>
        <w:pStyle w:val="Style34"/>
        <w:numPr>
          <w:ilvl w:val="0"/>
          <w:numId w:val="8"/>
        </w:numPr>
        <w:ind w:left="993" w:hanging="360"/>
        <w:jc w:val="both"/>
        <w:rPr/>
      </w:pPr>
      <w:bookmarkStart w:id="51" w:name="dst1141"/>
      <w:bookmarkEnd w:id="51"/>
      <w:r>
        <w:rPr>
          <w:bCs/>
          <w:color w:val="auto"/>
          <w:szCs w:val="24"/>
        </w:rPr>
        <w:t>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ПДн (наименование либо фамилия, имя и отчество, а также номера контактных телефонов, почтовые адреса и адреса электронной почты).</w:t>
      </w:r>
    </w:p>
    <w:p>
      <w:pPr>
        <w:pStyle w:val="22"/>
        <w:numPr>
          <w:ilvl w:val="1"/>
          <w:numId w:val="1"/>
        </w:numPr>
        <w:rPr/>
      </w:pPr>
      <w:r>
        <w:rPr/>
        <w:t xml:space="preserve">Решение о запрещении или об ограничении трансграничной передачи ПДн в целях защиты нравственности, здоровья, прав и законных интересов граждан принимается уполномоченным органом по защите прав Субъектов ПДн в течение 10 (десяти) рабочих дней с даты поступления уведомления, в </w:t>
      </w:r>
      <w:r>
        <w:fldChar w:fldCharType="begin"/>
      </w:r>
      <w:r>
        <w:rPr/>
        <w:instrText xml:space="preserve"> HYPERLINK "https://www.consultant.ru/document/cons_doc_LAW_437675/82608d8bf4c4ccb2f481816edef6a8828eada677/" \l "dst100009"</w:instrText>
      </w:r>
      <w:r>
        <w:rPr/>
        <w:fldChar w:fldCharType="separate"/>
      </w:r>
      <w:r>
        <w:rPr/>
        <w:t>порядке</w:t>
      </w:r>
      <w:r>
        <w:rPr/>
        <w:fldChar w:fldCharType="end"/>
      </w:r>
      <w:r>
        <w:rPr/>
        <w:t>, установленном Правительством Российской Федерации.</w:t>
      </w:r>
    </w:p>
    <w:p>
      <w:pPr>
        <w:pStyle w:val="22"/>
        <w:numPr>
          <w:ilvl w:val="1"/>
          <w:numId w:val="1"/>
        </w:numPr>
        <w:rPr/>
      </w:pPr>
      <w:r>
        <w:rPr/>
        <w:t xml:space="preserve">После направления уведомления, указанного пункте7.24 Положения, оператор вправе осуществлять трансграничную передачу ПДн на территории указанных в таком уведомлении иностранных государств, являющихся сторонами </w:t>
      </w:r>
      <w:hyperlink r:id="rId17">
        <w:r>
          <w:rPr/>
          <w:t>Конвенции</w:t>
        </w:r>
      </w:hyperlink>
      <w:r>
        <w:rPr/>
        <w:t xml:space="preserve"> Совета Европы о защите физических лиц при автоматизированной обработке ПДн или включенных в </w:t>
      </w:r>
      <w:r>
        <w:fldChar w:fldCharType="begin"/>
      </w:r>
      <w:r>
        <w:rPr/>
        <w:instrText xml:space="preserve"> HYPERLINK "https://www.consultant.ru/document/cons_doc_LAW_426970/4ce70334b68f94e273fa4657be175cddca82dfe5/" \l "dst100017"</w:instrText>
      </w:r>
      <w:r>
        <w:rPr/>
        <w:fldChar w:fldCharType="separate"/>
      </w:r>
      <w:r>
        <w:rPr/>
        <w:t>перечень</w:t>
      </w:r>
      <w:r>
        <w:rPr/>
        <w:fldChar w:fldCharType="end"/>
      </w:r>
      <w:r>
        <w:rPr/>
        <w:t xml:space="preserve"> иностранных государств, обеспечивающих адекватную защиту прав Субъектов ПДн (далее — Перечень иностранных государств), до принятия решения уполномоченным органом по защите прав Субъектов </w:t>
      </w:r>
    </w:p>
    <w:p>
      <w:pPr>
        <w:pStyle w:val="22"/>
        <w:numPr>
          <w:ilvl w:val="1"/>
          <w:numId w:val="1"/>
        </w:numPr>
        <w:rPr/>
      </w:pPr>
      <w:r>
        <w:rPr/>
        <w:t xml:space="preserve">После направления уведомления, указанного в пункте 7.24 Положения, оператор до истечения сроков, указанных в пункте 7.28 Положения, не вправе осуществлять трансграничную передачу ПДн на территории указанных в уведомлении иностранных государств, не являющихся сторонами </w:t>
      </w:r>
      <w:hyperlink r:id="rId18">
        <w:r>
          <w:rPr/>
          <w:t>Конвенции</w:t>
        </w:r>
      </w:hyperlink>
      <w:r>
        <w:rPr/>
        <w:t xml:space="preserve"> Совета Европы о защите физических лиц при автоматизированной обработке ПДн и не включенных в Перечень иностранных государств, за исключением случая, если такая трансграничная передача ПДн необходима для защиты жизни, здоровья, иных жизненно важных интересов Субъекта ПДн или других лиц.</w:t>
      </w:r>
    </w:p>
    <w:p>
      <w:pPr>
        <w:pStyle w:val="22"/>
        <w:numPr>
          <w:ilvl w:val="1"/>
          <w:numId w:val="1"/>
        </w:numPr>
        <w:rPr/>
      </w:pPr>
      <w:r>
        <w:rPr/>
        <w:t>В случае принятия уполномоченным органом по защите прав Субъектов ПДн решения о запрещении или об ограничении трансграничной передачи ПДн,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ПДн.</w:t>
      </w:r>
    </w:p>
    <w:p>
      <w:pPr>
        <w:pStyle w:val="1"/>
        <w:rPr/>
      </w:pPr>
      <w:bookmarkStart w:id="52" w:name="_Toc150263815"/>
      <w:bookmarkStart w:id="53" w:name="_Toc145919144"/>
      <w:bookmarkStart w:id="54" w:name="_Toc1005889321"/>
      <w:r>
        <w:rPr/>
        <w:t>Д</w:t>
      </w:r>
      <w:bookmarkEnd w:id="54"/>
      <w:r>
        <w:rPr/>
        <w:t>оступ к обрабатываемым в Академии ПДн</w:t>
      </w:r>
      <w:bookmarkEnd w:id="52"/>
      <w:bookmarkEnd w:id="53"/>
    </w:p>
    <w:p>
      <w:pPr>
        <w:pStyle w:val="22"/>
        <w:numPr>
          <w:ilvl w:val="1"/>
          <w:numId w:val="1"/>
        </w:numPr>
        <w:rPr/>
      </w:pPr>
      <w:r>
        <w:rPr/>
        <w:t>Допуск работников Академии к обработке ПДн осуществляется на основании приказа о назначении на должность, при замещении которой, согласно должностной инструкции, осуществляется обработка ПДн.</w:t>
      </w:r>
    </w:p>
    <w:p>
      <w:pPr>
        <w:pStyle w:val="22"/>
        <w:numPr>
          <w:ilvl w:val="1"/>
          <w:numId w:val="1"/>
        </w:numPr>
        <w:rPr/>
      </w:pPr>
      <w:r>
        <w:rPr/>
        <w:t>Работники Академии получают доступ к обработке ПДн для выполнения ими служебных (трудовых) обязанностей, после выполнения следующих мероприятий:</w:t>
      </w:r>
    </w:p>
    <w:p>
      <w:pPr>
        <w:pStyle w:val="Style29"/>
        <w:numPr>
          <w:ilvl w:val="0"/>
          <w:numId w:val="7"/>
        </w:numPr>
        <w:tabs>
          <w:tab w:val="left" w:pos="851" w:leader="none"/>
          <w:tab w:val="left" w:pos="993" w:leader="none"/>
        </w:tabs>
        <w:ind w:left="993" w:hanging="284"/>
        <w:rPr/>
      </w:pPr>
      <w:r>
        <w:rPr/>
        <w:t>ознакомления под подпись с настоящим Положением, руководящими документами Академии и нормативными актами Российской Федерации по обработке и обеспечению безопасности ПДн;</w:t>
      </w:r>
    </w:p>
    <w:p>
      <w:pPr>
        <w:pStyle w:val="Style29"/>
        <w:numPr>
          <w:ilvl w:val="0"/>
          <w:numId w:val="7"/>
        </w:numPr>
        <w:tabs>
          <w:tab w:val="left" w:pos="851" w:leader="none"/>
          <w:tab w:val="left" w:pos="993" w:leader="none"/>
        </w:tabs>
        <w:ind w:left="993" w:hanging="284"/>
        <w:rPr/>
      </w:pPr>
      <w:r>
        <w:rPr/>
        <w:t xml:space="preserve">оформления письменного обязательства о неразглашении ПДн, форма которого утверждена приказом ректора Академии. </w:t>
      </w:r>
    </w:p>
    <w:p>
      <w:pPr>
        <w:pStyle w:val="22"/>
        <w:numPr>
          <w:ilvl w:val="1"/>
          <w:numId w:val="1"/>
        </w:numPr>
        <w:rPr/>
      </w:pPr>
      <w:r>
        <w:rPr/>
        <w:t xml:space="preserve">Работники Академии, которые в рамках исполнения своих должностных обязанностей имеют доступ к ПДн, обязаны соблюдать режим конфиденциальности ПДн на всех этапах обработки, о чем подписывают соответствующее Соглашение, утвержденное внутренними ЛНА Академии. </w:t>
      </w:r>
    </w:p>
    <w:p>
      <w:pPr>
        <w:pStyle w:val="22"/>
        <w:numPr>
          <w:ilvl w:val="1"/>
          <w:numId w:val="1"/>
        </w:numPr>
        <w:rPr/>
      </w:pPr>
      <w:r>
        <w:rPr/>
        <w:t xml:space="preserve">Работники Академии, имеющие доступ к ПДн, имеют право получать только те ПДн, которые необходимы им для выполнения служебных (трудовых) обязанностей и должны обеспечить их обработку, исключающую несанкционированный доступ к ним третьих лиц. </w:t>
      </w:r>
    </w:p>
    <w:p>
      <w:pPr>
        <w:pStyle w:val="22"/>
        <w:numPr>
          <w:ilvl w:val="1"/>
          <w:numId w:val="1"/>
        </w:numPr>
        <w:rPr/>
      </w:pPr>
      <w:r>
        <w:rPr/>
        <w:t xml:space="preserve">В отсутствие работника на его рабочем месте не должно быть документов и машинных носителей информации, содержащих ПДн. </w:t>
      </w:r>
    </w:p>
    <w:p>
      <w:pPr>
        <w:pStyle w:val="22"/>
        <w:numPr>
          <w:ilvl w:val="1"/>
          <w:numId w:val="1"/>
        </w:numPr>
        <w:rPr/>
      </w:pPr>
      <w:r>
        <w:rPr/>
        <w:t xml:space="preserve">Персональные компьютеры, в которых содержатся ПДн, должны быть защищены паролями доступа. Работники обязаны держать в тайне пароли доступа к своим ПК, а также пароли от корпоративных учетных записей. </w:t>
      </w:r>
    </w:p>
    <w:p>
      <w:pPr>
        <w:pStyle w:val="22"/>
        <w:numPr>
          <w:ilvl w:val="1"/>
          <w:numId w:val="1"/>
        </w:numPr>
        <w:rPr/>
      </w:pPr>
      <w:r>
        <w:rPr/>
        <w:t xml:space="preserve">Работники обязаны убирать с рабочего стола бумаги с ПДн и иные носители ПДн. </w:t>
      </w:r>
    </w:p>
    <w:p>
      <w:pPr>
        <w:pStyle w:val="22"/>
        <w:numPr>
          <w:ilvl w:val="1"/>
          <w:numId w:val="1"/>
        </w:numPr>
        <w:rPr/>
      </w:pPr>
      <w:r>
        <w:rPr/>
        <w:t>Работники обязаны блокировать экран монитора, уходя с рабочего места.</w:t>
      </w:r>
    </w:p>
    <w:p>
      <w:pPr>
        <w:pStyle w:val="22"/>
        <w:numPr>
          <w:ilvl w:val="1"/>
          <w:numId w:val="1"/>
        </w:numPr>
        <w:rPr/>
      </w:pPr>
      <w:r>
        <w:rPr/>
        <w:t>Руководители структурных подразделений Академии и ее филиалов, осуществляющих обработку ПДн:</w:t>
      </w:r>
    </w:p>
    <w:p>
      <w:pPr>
        <w:pStyle w:val="Style29"/>
        <w:numPr>
          <w:ilvl w:val="0"/>
          <w:numId w:val="7"/>
        </w:numPr>
        <w:tabs>
          <w:tab w:val="left" w:pos="851" w:leader="none"/>
          <w:tab w:val="left" w:pos="993" w:leader="none"/>
        </w:tabs>
        <w:ind w:left="993" w:hanging="284"/>
        <w:rPr/>
      </w:pPr>
      <w:r>
        <w:rPr/>
        <w:t xml:space="preserve">формируют и актуализируют список работников структурного подразделения, занимающихся обработкой ПДн, и вносят соответствующие изменения в должностные инструкции вышеуказанных работников; </w:t>
      </w:r>
    </w:p>
    <w:p>
      <w:pPr>
        <w:pStyle w:val="Style29"/>
        <w:numPr>
          <w:ilvl w:val="0"/>
          <w:numId w:val="7"/>
        </w:numPr>
        <w:tabs>
          <w:tab w:val="left" w:pos="851" w:leader="none"/>
          <w:tab w:val="left" w:pos="993" w:leader="none"/>
        </w:tabs>
        <w:ind w:left="993" w:hanging="284"/>
        <w:rPr/>
      </w:pPr>
      <w:r>
        <w:rPr/>
        <w:t>организуют обработку</w:t>
      </w:r>
      <w:r>
        <w:rPr>
          <w:bCs/>
          <w:szCs w:val="24"/>
        </w:rPr>
        <w:t xml:space="preserve"> ПДн</w:t>
      </w:r>
      <w:r>
        <w:rPr/>
        <w:t xml:space="preserve"> в структурном подразделении в соответствии с законодательством Российской Федерации в области ПДн, настоящим Положением, иными ЛНА Академии;</w:t>
      </w:r>
    </w:p>
    <w:p>
      <w:pPr>
        <w:pStyle w:val="Style29"/>
        <w:numPr>
          <w:ilvl w:val="0"/>
          <w:numId w:val="7"/>
        </w:numPr>
        <w:tabs>
          <w:tab w:val="left" w:pos="851" w:leader="none"/>
          <w:tab w:val="left" w:pos="993" w:leader="none"/>
        </w:tabs>
        <w:ind w:left="993" w:hanging="284"/>
        <w:rPr/>
      </w:pPr>
      <w:r>
        <w:rPr/>
        <w:t>осуществляют текущий контроль за обработкой ПДн в структурных подразделениях;</w:t>
      </w:r>
    </w:p>
    <w:p>
      <w:pPr>
        <w:pStyle w:val="Style29"/>
        <w:numPr>
          <w:ilvl w:val="0"/>
          <w:numId w:val="7"/>
        </w:numPr>
        <w:tabs>
          <w:tab w:val="left" w:pos="851" w:leader="none"/>
          <w:tab w:val="left" w:pos="993" w:leader="none"/>
        </w:tabs>
        <w:ind w:left="993" w:hanging="284"/>
        <w:rPr/>
      </w:pPr>
      <w:r>
        <w:rPr/>
        <w:t>обеспечивают конфиденциальность ПДн, обрабатываемых в соответствующем структурном подразделении;</w:t>
      </w:r>
    </w:p>
    <w:p>
      <w:pPr>
        <w:pStyle w:val="Style29"/>
        <w:numPr>
          <w:ilvl w:val="0"/>
          <w:numId w:val="7"/>
        </w:numPr>
        <w:tabs>
          <w:tab w:val="left" w:pos="851" w:leader="none"/>
          <w:tab w:val="left" w:pos="993" w:leader="none"/>
        </w:tabs>
        <w:ind w:left="993" w:hanging="284"/>
        <w:rPr/>
      </w:pPr>
      <w:r>
        <w:rPr/>
        <w:t>информируют лицо, ответственное за организацию защиты ПДн в процессе их обработки в Академии - директора по правовым вопросам Академии, обо всех фактах и попытках несанкционированного доступа к ПДн и о других нарушениях порядка обработки ПДн;</w:t>
      </w:r>
    </w:p>
    <w:p>
      <w:pPr>
        <w:pStyle w:val="Style29"/>
        <w:numPr>
          <w:ilvl w:val="0"/>
          <w:numId w:val="7"/>
        </w:numPr>
        <w:tabs>
          <w:tab w:val="left" w:pos="851" w:leader="none"/>
          <w:tab w:val="left" w:pos="993" w:leader="none"/>
        </w:tabs>
        <w:ind w:left="993" w:hanging="284"/>
        <w:rPr/>
      </w:pPr>
      <w:r>
        <w:rPr/>
        <w:t>несут персональную ответственность за обработку ПДн в структурных подразделениях в соответствии с требованиями законодательства Российской Федерации в области ПДн, настоящего Положения и ЛНА Академии в области ПДн.</w:t>
      </w:r>
    </w:p>
    <w:p>
      <w:pPr>
        <w:pStyle w:val="1"/>
        <w:rPr/>
      </w:pPr>
      <w:bookmarkStart w:id="55" w:name="_Toc150263816"/>
      <w:bookmarkStart w:id="56" w:name="_Toc145919145"/>
      <w:bookmarkStart w:id="57" w:name="_Toc100588933"/>
      <w:r>
        <w:rPr/>
        <w:t>Перечень действий с ПДн - сроки и способы их обработки, а также сроки и порядок хранения и дальнейшего уничтожения</w:t>
      </w:r>
      <w:bookmarkEnd w:id="55"/>
      <w:bookmarkEnd w:id="56"/>
      <w:bookmarkEnd w:id="57"/>
      <w:r>
        <w:rPr/>
        <w:t xml:space="preserve"> </w:t>
      </w:r>
    </w:p>
    <w:p>
      <w:pPr>
        <w:pStyle w:val="22"/>
        <w:numPr>
          <w:ilvl w:val="1"/>
          <w:numId w:val="1"/>
        </w:numPr>
        <w:rPr/>
      </w:pPr>
      <w:r>
        <w:rPr/>
        <w:t>Академия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ПДн.</w:t>
      </w:r>
    </w:p>
    <w:p>
      <w:pPr>
        <w:pStyle w:val="22"/>
        <w:numPr>
          <w:ilvl w:val="1"/>
          <w:numId w:val="1"/>
        </w:numPr>
        <w:rPr/>
      </w:pPr>
      <w:r>
        <w:rPr/>
        <w:t>Обработка ПДн в Академии осуществляется следующими способами:</w:t>
      </w:r>
      <w:r>
        <w:rPr>
          <w:b/>
        </w:rPr>
        <w:t xml:space="preserve"> </w:t>
      </w:r>
    </w:p>
    <w:p>
      <w:pPr>
        <w:pStyle w:val="Style29"/>
        <w:numPr>
          <w:ilvl w:val="0"/>
          <w:numId w:val="7"/>
        </w:numPr>
        <w:tabs>
          <w:tab w:val="left" w:pos="851" w:leader="none"/>
          <w:tab w:val="left" w:pos="993" w:leader="none"/>
        </w:tabs>
        <w:ind w:left="993" w:hanging="284"/>
        <w:rPr/>
      </w:pPr>
      <w:r>
        <w:rPr/>
        <w:t>неавтоматизированная обработка ПДн;</w:t>
      </w:r>
    </w:p>
    <w:p>
      <w:pPr>
        <w:pStyle w:val="Style29"/>
        <w:numPr>
          <w:ilvl w:val="0"/>
          <w:numId w:val="7"/>
        </w:numPr>
        <w:tabs>
          <w:tab w:val="left" w:pos="851" w:leader="none"/>
          <w:tab w:val="left" w:pos="993" w:leader="none"/>
        </w:tabs>
        <w:ind w:left="993" w:hanging="284"/>
        <w:rPr/>
      </w:pPr>
      <w:r>
        <w:rPr/>
        <w:t>автоматизированная обработка ПДн с передачей полученной информации по информационно-телекоммуникационным сетям или без таковой;</w:t>
      </w:r>
    </w:p>
    <w:p>
      <w:pPr>
        <w:pStyle w:val="Style29"/>
        <w:numPr>
          <w:ilvl w:val="0"/>
          <w:numId w:val="7"/>
        </w:numPr>
        <w:tabs>
          <w:tab w:val="left" w:pos="851" w:leader="none"/>
          <w:tab w:val="left" w:pos="993" w:leader="none"/>
        </w:tabs>
        <w:ind w:left="993" w:hanging="284"/>
        <w:rPr/>
      </w:pPr>
      <w:r>
        <w:rPr/>
        <w:t>смешанная.</w:t>
      </w:r>
    </w:p>
    <w:p>
      <w:pPr>
        <w:pStyle w:val="22"/>
        <w:numPr>
          <w:ilvl w:val="1"/>
          <w:numId w:val="1"/>
        </w:numPr>
        <w:rPr/>
      </w:pPr>
      <w:r>
        <w:rPr/>
        <w:t>Сроки обработки, в том числе хранения, ПДн работников и других Субъектов ПДн на бумажных, иных материальных носителях и в виде</w:t>
        <w:br/>
        <w:t>скан-образов документов на ПК работников ОПДн, содержащих ПДн, а также в ИСПДн, определяются в Академии в соответствии с законодательством Российской Федерации.</w:t>
      </w:r>
    </w:p>
    <w:p>
      <w:pPr>
        <w:pStyle w:val="22"/>
        <w:numPr>
          <w:ilvl w:val="1"/>
          <w:numId w:val="1"/>
        </w:numPr>
        <w:rPr/>
      </w:pPr>
      <w:r>
        <w:rPr/>
        <w:t>Хранимые ПДн подлежат защите от несанкционированного доступа и копирования. Технические и программные средства должны удовлетворять устанавливаемым в соответствии с законодательством Российской Федерации требованиям, обеспечивающим защиту информации.</w:t>
      </w:r>
    </w:p>
    <w:p>
      <w:pPr>
        <w:pStyle w:val="22"/>
        <w:numPr>
          <w:ilvl w:val="1"/>
          <w:numId w:val="1"/>
        </w:numPr>
        <w:rPr/>
      </w:pPr>
      <w:r>
        <w:rPr/>
        <w:t>Если сроки обработки ПДн не установлены федеральным законом, их обработка и хранение осуществляется не дольше, чем этого требуют цели обработки, в том числе хранения.</w:t>
      </w:r>
    </w:p>
    <w:p>
      <w:pPr>
        <w:pStyle w:val="22"/>
        <w:numPr>
          <w:ilvl w:val="1"/>
          <w:numId w:val="1"/>
        </w:numPr>
        <w:rPr/>
      </w:pPr>
      <w:r>
        <w:rPr/>
        <w:t>ПДн в Академии хранятся на бумажных и машинных носителях информации, а также в информационных системах Академии (ИСПДн) и на АРМ работников ОПДн, обеспечивающих сохранность ПДн и их защиту от несанкционированного доступа.</w:t>
      </w:r>
    </w:p>
    <w:p>
      <w:pPr>
        <w:pStyle w:val="22"/>
        <w:numPr>
          <w:ilvl w:val="1"/>
          <w:numId w:val="1"/>
        </w:numPr>
        <w:rPr/>
      </w:pPr>
      <w:r>
        <w:rPr/>
        <w:t>В Академии и ее филиалах обеспечивается раздельное хранение ПДн (материальных носителей, а также файлов на АРМ), обработка которых осуществляется в разных целях, определенных настоящим Положением, и которые содержат разные категории ПДн.</w:t>
      </w:r>
    </w:p>
    <w:p>
      <w:pPr>
        <w:pStyle w:val="22"/>
        <w:numPr>
          <w:ilvl w:val="1"/>
          <w:numId w:val="1"/>
        </w:numPr>
        <w:rPr/>
      </w:pPr>
      <w:r>
        <w:rPr/>
        <w:t>При хранении материальных носителей или скан-образов, содержащих ПДн, должны соблюдаться условия, обеспечивающие сохранность ПДн и исключающие несанкционированный доступ к ним.</w:t>
      </w:r>
    </w:p>
    <w:p>
      <w:pPr>
        <w:pStyle w:val="22"/>
        <w:numPr>
          <w:ilvl w:val="1"/>
          <w:numId w:val="1"/>
        </w:numPr>
        <w:rPr/>
      </w:pPr>
      <w:r>
        <w:rPr/>
        <w:t>Письменные согласия Субъектов ПДн (работников и обучающихся (слушателей)) подлежат сканированию тем структурным подразделением, которое получило такое согласие, и дальнейшему хранению на закрытом сетевом ресурсе.</w:t>
      </w:r>
    </w:p>
    <w:p>
      <w:pPr>
        <w:pStyle w:val="22"/>
        <w:numPr>
          <w:ilvl w:val="1"/>
          <w:numId w:val="1"/>
        </w:numPr>
        <w:rPr/>
      </w:pPr>
      <w:r>
        <w:rPr/>
        <w:t>Письменные согласия иных Субъектов ПДн подлежат сканированию и направлению на имя</w:t>
      </w:r>
      <w:r>
        <w:rPr>
          <w:b/>
        </w:rPr>
        <w:t xml:space="preserve"> </w:t>
      </w:r>
      <w:r>
        <w:rPr>
          <w:bCs w:val="false"/>
        </w:rPr>
        <w:t>лица, ответственного за организацию защиты ПДн в процессе их обработки в Академии - д</w:t>
      </w:r>
      <w:r>
        <w:rPr/>
        <w:t xml:space="preserve">иректора по правовым вопросам Академии, который, в свою очередь, осуществляет хранение таких согласий на закрытом сетевом ресурсе или ином защищенном месте хранения. </w:t>
      </w:r>
    </w:p>
    <w:p>
      <w:pPr>
        <w:pStyle w:val="22"/>
        <w:numPr>
          <w:ilvl w:val="1"/>
          <w:numId w:val="1"/>
        </w:numPr>
        <w:rPr/>
      </w:pPr>
      <w:r>
        <w:rPr/>
        <w:t xml:space="preserve">Порядок и сроки уничтожения ПДн. </w:t>
      </w:r>
    </w:p>
    <w:p>
      <w:pPr>
        <w:pStyle w:val="3"/>
        <w:rPr>
          <w:rFonts w:cs="Times New Roman"/>
        </w:rPr>
      </w:pPr>
      <w:r>
        <w:rPr>
          <w:rFonts w:cs="Times New Roman"/>
        </w:rPr>
        <w:t>Структурные подразделения Академии осуществляют систематический мониторинг и после достижения цели или утраты необходимости в достижении цели обработки, уничтожают ПДн субъектов, иные материальные носители, содержащие ПДн, а также удаляют ПДн, содержащиеся в информационных системах ПДн, файлах, хранящихся на АРМ работника ОПДн или на внешних перезаписываемых электронных носителях, по достижении цели обработки, с истекшими сроками хранения, предусмотренными законодательством Российской Федерации, или при наступлении иных законных оснований.</w:t>
      </w:r>
    </w:p>
    <w:p>
      <w:pPr>
        <w:pStyle w:val="3"/>
        <w:rPr>
          <w:rFonts w:cs="Times New Roman"/>
        </w:rPr>
      </w:pPr>
      <w:r>
        <w:rPr>
          <w:rFonts w:cs="Times New Roman"/>
        </w:rPr>
        <w:t>В случае достижения цели обработки ПДн Оператор обязан прекратить обработку ПДн или обеспечить ее прекращение (если обработка ПДн осуществляется другим лицом, действующим по поручению Оператора) и уничтожить ПДн или обеспечить их уничтожение (если обработка ПДн осуществляется другим лицом, действующим по поручению Оператора) в срок, не превышающий 30 (тридцати) дней с даты достижения цели обработки ПДн, если иное не предусмотрено договором, стороной которого, выгодоприобретателем или поручителем по которому является Субъект ПДн, иным соглашением между оператором и Субъектом ПДн либо если оператор не вправе осуществлять обработку ПДн без согласия Субъекта ПДн на основаниях, предусмотренных настоящим Федеральным законом или другими федеральными законами.</w:t>
      </w:r>
    </w:p>
    <w:p>
      <w:pPr>
        <w:pStyle w:val="3"/>
        <w:rPr>
          <w:rFonts w:cs="Times New Roman"/>
        </w:rPr>
      </w:pPr>
      <w:r>
        <w:rPr>
          <w:rFonts w:cs="Times New Roman"/>
        </w:rPr>
        <w:t>В случае отзыва Субъектом ПДн согласия на обработку его ПДн Оператор обязан прекратить их обработку или обеспечить прекращение такой обработки (если обработка ПДн осуществляется другим лицом, действующим по поручению Оператора) и в случае, если сохранение ПДн более не требуется для целей обработки ПДн, уничтожить ПДн или обеспечить их уничтожение (если обработка ПДн осуществляется другим лицом, действующим по поручению оператора) в срок, не превышающий 30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ПДн, иным соглашением между оператором и Субъектом ПДн либо если оператор не вправе осуществлять обработку ПДн без согласия Субъекта ПДн на основаниях, предусмотренных настоящим Федеральным законом или другими федеральными законами.</w:t>
      </w:r>
    </w:p>
    <w:p>
      <w:pPr>
        <w:pStyle w:val="3"/>
        <w:rPr>
          <w:rFonts w:cs="Times New Roman"/>
        </w:rPr>
      </w:pPr>
      <w:r>
        <w:rPr>
          <w:rFonts w:cs="Times New Roman"/>
        </w:rPr>
        <w:t xml:space="preserve">В случае обращения Субъекта ПДн к Оператору с требованием о прекращении обработки ПДн Оператор обязан в срок, не превышающий 10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ПДн), за исключением случаев, предусмотренных </w:t>
      </w:r>
      <w:r>
        <w:fldChar w:fldCharType="begin"/>
      </w:r>
      <w:r>
        <w:rPr>
          <w:rFonts w:cs="Times New Roman"/>
        </w:rPr>
        <w:instrText xml:space="preserve"> HYPERLINK "https://www.consultant.ru/document/cons_doc_LAW_439201/315f051396c88f1e4f827ba3f2ae313d999a1873/" \l "dst100260"</w:instrText>
      </w:r>
      <w:r>
        <w:rPr>
          <w:rFonts w:cs="Times New Roman"/>
        </w:rPr>
        <w:fldChar w:fldCharType="separate"/>
      </w:r>
      <w:r>
        <w:rPr>
          <w:rFonts w:cs="Times New Roman"/>
        </w:rPr>
        <w:t>пунктами 2</w:t>
      </w:r>
      <w:r>
        <w:rPr>
          <w:rFonts w:cs="Times New Roman"/>
        </w:rPr>
        <w:fldChar w:fldCharType="end"/>
      </w:r>
      <w:r>
        <w:rPr>
          <w:rFonts w:cs="Times New Roman"/>
        </w:rPr>
        <w:t> - </w:t>
      </w:r>
      <w:r>
        <w:fldChar w:fldCharType="begin"/>
      </w:r>
      <w:r>
        <w:rPr>
          <w:rFonts w:cs="Times New Roman"/>
        </w:rPr>
        <w:instrText xml:space="preserve"> HYPERLINK "https://www.consultant.ru/document/cons_doc_LAW_439201/315f051396c88f1e4f827ba3f2ae313d999a1873/" \l "dst100269"</w:instrText>
      </w:r>
      <w:r>
        <w:rPr>
          <w:rFonts w:cs="Times New Roman"/>
        </w:rPr>
        <w:fldChar w:fldCharType="separate"/>
      </w:r>
      <w:r>
        <w:rPr>
          <w:rFonts w:cs="Times New Roman"/>
        </w:rPr>
        <w:t>11 части 1 статьи 6</w:t>
      </w:r>
      <w:r>
        <w:rPr>
          <w:rFonts w:cs="Times New Roman"/>
        </w:rPr>
        <w:fldChar w:fldCharType="end"/>
      </w:r>
      <w:r>
        <w:rPr>
          <w:rFonts w:cs="Times New Roman"/>
        </w:rPr>
        <w:t xml:space="preserve">, </w:t>
      </w:r>
      <w:r>
        <w:fldChar w:fldCharType="begin"/>
      </w:r>
      <w:r>
        <w:rPr>
          <w:rFonts w:cs="Times New Roman"/>
        </w:rPr>
        <w:instrText xml:space="preserve"> HYPERLINK "https://www.consultant.ru/document/cons_doc_LAW_439201/26edb2934b899bf9c74c3a8f7e574651c6565e6d/" \l "dst100082"</w:instrText>
      </w:r>
      <w:r>
        <w:rPr>
          <w:rFonts w:cs="Times New Roman"/>
        </w:rPr>
        <w:fldChar w:fldCharType="separate"/>
      </w:r>
      <w:r>
        <w:rPr>
          <w:rFonts w:cs="Times New Roman"/>
        </w:rPr>
        <w:t>частью 2 статьи 10</w:t>
      </w:r>
      <w:r>
        <w:rPr>
          <w:rFonts w:cs="Times New Roman"/>
        </w:rPr>
        <w:fldChar w:fldCharType="end"/>
      </w:r>
      <w:r>
        <w:rPr>
          <w:rFonts w:cs="Times New Roman"/>
        </w:rPr>
        <w:t xml:space="preserve"> и </w:t>
      </w:r>
      <w:r>
        <w:fldChar w:fldCharType="begin"/>
      </w:r>
      <w:r>
        <w:rPr>
          <w:rFonts w:cs="Times New Roman"/>
        </w:rPr>
        <w:instrText xml:space="preserve"> HYPERLINK "https://www.consultant.ru/document/cons_doc_LAW_439201/7336c78762a98b5f4f698b8c3800dca1111acc16/" \l "dst27"</w:instrText>
      </w:r>
      <w:r>
        <w:rPr>
          <w:rFonts w:cs="Times New Roman"/>
        </w:rPr>
        <w:fldChar w:fldCharType="separate"/>
      </w:r>
      <w:r>
        <w:rPr>
          <w:rFonts w:cs="Times New Roman"/>
        </w:rPr>
        <w:t>частью 2 статьи 11</w:t>
      </w:r>
      <w:r>
        <w:rPr>
          <w:rFonts w:cs="Times New Roman"/>
        </w:rPr>
        <w:fldChar w:fldCharType="end"/>
      </w:r>
      <w:r>
        <w:rPr>
          <w:rFonts w:cs="Times New Roman"/>
        </w:rPr>
        <w:t> ФЗ-152. Указанный срок может быть продлен, но не более чем на 5 (пять) рабочих дней, в случае направления Оператором в адрес Субъекта ПДн мотивированного уведомления с указанием причин продления срока предоставления запрашиваемой информации.</w:t>
      </w:r>
    </w:p>
    <w:p>
      <w:pPr>
        <w:pStyle w:val="3"/>
        <w:rPr>
          <w:rFonts w:cs="Times New Roman"/>
        </w:rPr>
      </w:pPr>
      <w:r>
        <w:rPr>
          <w:rFonts w:cs="Times New Roman"/>
        </w:rPr>
        <w:t>В случае отсутствия возможности уничтожения ПДн в течение сроков, указанных выше, Оператор осуществляет блокирование таких ПДн или обеспечивает их блокирование (если обработка ПДн осуществляется другим лицом, действующим по поручению Оператора) и обеспечивает уничтожение ПДн в срок не более чем 6 (шесть) месяцев</w:t>
      </w:r>
      <w:r>
        <w:rPr>
          <w:rFonts w:cs="Times New Roman"/>
          <w:shd w:fill="FFFFFF" w:val="clear"/>
        </w:rPr>
        <w:t>, если иной срок не установлен федеральными законами.</w:t>
      </w:r>
    </w:p>
    <w:p>
      <w:pPr>
        <w:pStyle w:val="22"/>
        <w:numPr>
          <w:ilvl w:val="1"/>
          <w:numId w:val="1"/>
        </w:numPr>
        <w:rPr/>
      </w:pPr>
      <w:r>
        <w:rPr/>
        <w:t>Удаление информации, содержащей ПДн, хранящейся на АРМ работника ОПДн или на внешних перезаписываемых электронных носителях, из информационных систем ПДн производится комиссией, создаваемой в каждом структурном подразделении на основании распоряжения руководителя структурного подразделения, в составе не менее трех работников структурного подразделения, с обязательным участием лица, ответственного за обработку ПДн в соответствующем структурном подразделении Академии (при его наличии).</w:t>
      </w:r>
    </w:p>
    <w:p>
      <w:pPr>
        <w:pStyle w:val="22"/>
        <w:numPr>
          <w:ilvl w:val="1"/>
          <w:numId w:val="1"/>
        </w:numPr>
        <w:rPr/>
      </w:pPr>
      <w:r>
        <w:rPr/>
        <w:t>Решение комиссии об удалении информации, содержащей ПДн, оформляется актом. Форма акта об удалении (уничтожении) информации, содержащей ПДн, приведена в приложении (</w:t>
      </w:r>
      <w:r>
        <w:rPr/>
        <w:fldChar w:fldCharType="begin"/>
      </w:r>
      <w:r>
        <w:rPr/>
        <w:instrText xml:space="preserve"> REF _Ref150243890 \h </w:instrText>
      </w:r>
      <w:r>
        <w:rPr/>
        <w:fldChar w:fldCharType="separate"/>
      </w:r>
      <w:r>
        <w:rPr/>
        <w:t>Приложение № 11</w:t>
      </w:r>
      <w:r>
        <w:rPr/>
        <w:fldChar w:fldCharType="end"/>
      </w:r>
      <w:r>
        <w:rPr/>
        <w:t xml:space="preserve">). Хранение данных актов осуществляется в структурном подразделении, комиссия которого его подготовила и утвердила, срок хранения – 3 года с даты утверждения акта.  </w:t>
      </w:r>
    </w:p>
    <w:p>
      <w:pPr>
        <w:pStyle w:val="1"/>
        <w:rPr/>
      </w:pPr>
      <w:bookmarkStart w:id="58" w:name="_Toc150263817"/>
      <w:bookmarkStart w:id="59" w:name="_Toc145919146"/>
      <w:bookmarkStart w:id="60" w:name="_Toc100588934"/>
      <w:r>
        <w:rPr/>
        <w:t>Меры, принимаемые Академией для обеспечения выполнения обязанностей Оператора при обработке ПДн</w:t>
      </w:r>
      <w:bookmarkEnd w:id="58"/>
      <w:bookmarkEnd w:id="59"/>
      <w:bookmarkEnd w:id="60"/>
    </w:p>
    <w:p>
      <w:pPr>
        <w:pStyle w:val="22"/>
        <w:numPr>
          <w:ilvl w:val="1"/>
          <w:numId w:val="1"/>
        </w:numPr>
        <w:rPr/>
      </w:pPr>
      <w:r>
        <w:rPr/>
        <w:t>Меры, необходимые и достаточные для обеспечения выполнения Академией обязанностей Оператора, предусмотренные законодательством Российской</w:t>
      </w:r>
      <w:r>
        <w:rPr>
          <w:szCs w:val="28"/>
        </w:rPr>
        <w:t xml:space="preserve"> Федерации в области ПДн, включают в себя, в частности:</w:t>
      </w:r>
    </w:p>
    <w:p>
      <w:pPr>
        <w:pStyle w:val="Style29"/>
        <w:numPr>
          <w:ilvl w:val="0"/>
          <w:numId w:val="7"/>
        </w:numPr>
        <w:tabs>
          <w:tab w:val="left" w:pos="851" w:leader="none"/>
          <w:tab w:val="left" w:pos="993" w:leader="none"/>
        </w:tabs>
        <w:ind w:left="993" w:hanging="284"/>
        <w:rPr>
          <w:color w:val="000000"/>
        </w:rPr>
      </w:pPr>
      <w:r>
        <w:rPr>
          <w:color w:val="000000"/>
        </w:rPr>
        <w:t>принятие ЛНА и иных документов в области обработки и защиты ПДн;</w:t>
      </w:r>
    </w:p>
    <w:p>
      <w:pPr>
        <w:pStyle w:val="Style29"/>
        <w:numPr>
          <w:ilvl w:val="0"/>
          <w:numId w:val="7"/>
        </w:numPr>
        <w:tabs>
          <w:tab w:val="left" w:pos="851" w:leader="none"/>
          <w:tab w:val="left" w:pos="993" w:leader="none"/>
        </w:tabs>
        <w:ind w:left="993" w:hanging="284"/>
        <w:rPr>
          <w:color w:val="000000"/>
        </w:rPr>
      </w:pPr>
      <w:r>
        <w:rPr>
          <w:color w:val="000000"/>
        </w:rPr>
        <w:t>организацию обучения и проведение методической работы с работниками структурных подразделений Академии и ее филиалов, занимающими должности, при замещении которых, согласно должностной инструкции, осуществляется обработка ПДн;</w:t>
      </w:r>
    </w:p>
    <w:p>
      <w:pPr>
        <w:pStyle w:val="Style29"/>
        <w:numPr>
          <w:ilvl w:val="0"/>
          <w:numId w:val="7"/>
        </w:numPr>
        <w:tabs>
          <w:tab w:val="left" w:pos="851" w:leader="none"/>
          <w:tab w:val="left" w:pos="993" w:leader="none"/>
        </w:tabs>
        <w:ind w:left="993" w:hanging="284"/>
        <w:rPr>
          <w:color w:val="000000"/>
        </w:rPr>
      </w:pPr>
      <w:r>
        <w:rPr>
          <w:color w:val="000000"/>
        </w:rPr>
        <w:t xml:space="preserve">получение согласий Субъектов ПДн на обработку их ПДн; </w:t>
      </w:r>
    </w:p>
    <w:p>
      <w:pPr>
        <w:pStyle w:val="Style29"/>
        <w:numPr>
          <w:ilvl w:val="0"/>
          <w:numId w:val="7"/>
        </w:numPr>
        <w:tabs>
          <w:tab w:val="left" w:pos="851" w:leader="none"/>
          <w:tab w:val="left" w:pos="993" w:leader="none"/>
        </w:tabs>
        <w:ind w:left="993" w:hanging="284"/>
        <w:rPr>
          <w:color w:val="000000"/>
        </w:rPr>
      </w:pPr>
      <w:r>
        <w:rPr>
          <w:color w:val="000000"/>
        </w:rPr>
        <w:t xml:space="preserve">обособление ПДн, обрабатываемых без использования средств автоматизации, от иной информации, в частности путем их фиксации на отдельных материальных носителях ПДн; </w:t>
      </w:r>
    </w:p>
    <w:p>
      <w:pPr>
        <w:pStyle w:val="Style29"/>
        <w:numPr>
          <w:ilvl w:val="0"/>
          <w:numId w:val="7"/>
        </w:numPr>
        <w:tabs>
          <w:tab w:val="left" w:pos="851" w:leader="none"/>
          <w:tab w:val="left" w:pos="993" w:leader="none"/>
        </w:tabs>
        <w:ind w:left="993" w:hanging="284"/>
        <w:rPr>
          <w:color w:val="000000"/>
        </w:rPr>
      </w:pPr>
      <w:r>
        <w:rPr>
          <w:color w:val="000000"/>
        </w:rPr>
        <w:t>обеспечение раздельного хранения ПДн в ИСПДн, либо на АРМ и их материальных носителях, обработка которых осуществляется в разных целях и которые содержат разные категории ПДн;</w:t>
      </w:r>
    </w:p>
    <w:p>
      <w:pPr>
        <w:pStyle w:val="Style29"/>
        <w:numPr>
          <w:ilvl w:val="0"/>
          <w:numId w:val="7"/>
        </w:numPr>
        <w:tabs>
          <w:tab w:val="left" w:pos="851" w:leader="none"/>
          <w:tab w:val="left" w:pos="993" w:leader="none"/>
        </w:tabs>
        <w:ind w:left="993" w:hanging="284"/>
        <w:rPr>
          <w:color w:val="000000"/>
        </w:rPr>
      </w:pPr>
      <w:r>
        <w:rPr>
          <w:color w:val="000000"/>
        </w:rPr>
        <w:t xml:space="preserve">обязательную защиту АРМ работников Академии паролями доступа; </w:t>
      </w:r>
    </w:p>
    <w:p>
      <w:pPr>
        <w:pStyle w:val="Style29"/>
        <w:numPr>
          <w:ilvl w:val="0"/>
          <w:numId w:val="7"/>
        </w:numPr>
        <w:tabs>
          <w:tab w:val="left" w:pos="851" w:leader="none"/>
          <w:tab w:val="left" w:pos="993" w:leader="none"/>
        </w:tabs>
        <w:ind w:left="993" w:hanging="284"/>
        <w:rPr>
          <w:color w:val="000000"/>
        </w:rPr>
      </w:pPr>
      <w:r>
        <w:rPr>
          <w:color w:val="000000"/>
        </w:rPr>
        <w:t xml:space="preserve">обработку ПДн, которая должна осуществляться на АРМ в защищенном исполнении, аттестованных в соответствии с отраслевыми требованиями по информационной безопасности; </w:t>
      </w:r>
    </w:p>
    <w:p>
      <w:pPr>
        <w:pStyle w:val="Style29"/>
        <w:numPr>
          <w:ilvl w:val="0"/>
          <w:numId w:val="7"/>
        </w:numPr>
        <w:tabs>
          <w:tab w:val="left" w:pos="851" w:leader="none"/>
          <w:tab w:val="left" w:pos="993" w:leader="none"/>
        </w:tabs>
        <w:ind w:left="993" w:hanging="284"/>
        <w:rPr>
          <w:color w:val="000000"/>
        </w:rPr>
      </w:pPr>
      <w:r>
        <w:rPr>
          <w:color w:val="000000"/>
        </w:rPr>
        <w:t>обмен и передачу ПДн между отраслевыми организациями, которые должны осуществляться только по защищенным каналам связи с использованием комплекса ViPNet-Гринатом «Деловая почта» или ЕОСДО. Для записи, обработки, хранения и передачи ПДн между подразделениями Академии могут использоваться учтенные машинные носители информации – оптические диски (</w:t>
      </w:r>
      <w:r>
        <w:rPr>
          <w:color w:val="000000"/>
          <w:lang w:val="en-US"/>
        </w:rPr>
        <w:t>CD</w:t>
      </w:r>
      <w:r>
        <w:rPr>
          <w:color w:val="000000"/>
        </w:rPr>
        <w:t>/</w:t>
      </w:r>
      <w:r>
        <w:rPr>
          <w:color w:val="000000"/>
          <w:lang w:val="en-US"/>
        </w:rPr>
        <w:t>DVD</w:t>
      </w:r>
      <w:r>
        <w:rPr>
          <w:color w:val="000000"/>
        </w:rPr>
        <w:t>);</w:t>
      </w:r>
    </w:p>
    <w:p>
      <w:pPr>
        <w:pStyle w:val="Style29"/>
        <w:numPr>
          <w:ilvl w:val="0"/>
          <w:numId w:val="7"/>
        </w:numPr>
        <w:tabs>
          <w:tab w:val="left" w:pos="851" w:leader="none"/>
          <w:tab w:val="left" w:pos="993" w:leader="none"/>
        </w:tabs>
        <w:ind w:left="993" w:hanging="284"/>
        <w:rPr>
          <w:color w:val="000000"/>
        </w:rPr>
      </w:pPr>
      <w:r>
        <w:rPr>
          <w:color w:val="000000"/>
        </w:rPr>
        <w:t>установление запрета на передачу ПДн Субъектов ПДн по открытым каналам связи (электронная почта внутри Академии и внешние электронные адреса, факс, общие сетевые папки Академии ее структурных подразделений и филиалов, к которым имеет доступ неограниченный круг лиц), вычислительным сетям вне пределов контролируемой Академией зоны, а также сети Интернет без применения установленных в Академии мер по обеспечению безопасности ПДн (за исключением обезличенных ПДн);</w:t>
      </w:r>
    </w:p>
    <w:p>
      <w:pPr>
        <w:pStyle w:val="Style29"/>
        <w:numPr>
          <w:ilvl w:val="0"/>
          <w:numId w:val="7"/>
        </w:numPr>
        <w:tabs>
          <w:tab w:val="left" w:pos="851" w:leader="none"/>
          <w:tab w:val="left" w:pos="993" w:leader="none"/>
        </w:tabs>
        <w:ind w:left="993" w:hanging="284"/>
        <w:rPr>
          <w:color w:val="000000"/>
        </w:rPr>
      </w:pPr>
      <w:r>
        <w:rPr>
          <w:color w:val="000000"/>
        </w:rPr>
        <w:t xml:space="preserve">обеспечение защиты документов, содержащих ПДн, на бумажных и иных материальных носителях при их передаче внутри Академии и внутри ее филиалов, путем наложения чистого листа на текст, содержащий ПДн, с помещением такого документа в отдельный </w:t>
      </w:r>
      <w:r>
        <w:rPr>
          <w:color w:val="000000"/>
          <w:shd w:fill="FFFFFF" w:val="clear"/>
        </w:rPr>
        <w:t>перфорированный пакет для документов (</w:t>
      </w:r>
      <w:r>
        <w:rPr>
          <w:color w:val="000000"/>
        </w:rPr>
        <w:t>файл), либо конверт;</w:t>
      </w:r>
    </w:p>
    <w:p>
      <w:pPr>
        <w:pStyle w:val="Style29"/>
        <w:numPr>
          <w:ilvl w:val="0"/>
          <w:numId w:val="7"/>
        </w:numPr>
        <w:tabs>
          <w:tab w:val="left" w:pos="851" w:leader="none"/>
          <w:tab w:val="left" w:pos="993" w:leader="none"/>
        </w:tabs>
        <w:ind w:left="993" w:hanging="284"/>
        <w:rPr>
          <w:color w:val="000000"/>
        </w:rPr>
      </w:pPr>
      <w:r>
        <w:rPr>
          <w:color w:val="000000"/>
        </w:rPr>
        <w:t xml:space="preserve">хранение материальных носителей ПДн с соблюдением условий, обеспечивающих сохранность ПДн и исключающих несанкционированный доступ к ним; </w:t>
      </w:r>
    </w:p>
    <w:p>
      <w:pPr>
        <w:pStyle w:val="Style29"/>
        <w:numPr>
          <w:ilvl w:val="0"/>
          <w:numId w:val="7"/>
        </w:numPr>
        <w:tabs>
          <w:tab w:val="left" w:pos="851" w:leader="none"/>
          <w:tab w:val="left" w:pos="993" w:leader="none"/>
        </w:tabs>
        <w:ind w:left="993" w:hanging="284"/>
        <w:rPr>
          <w:color w:val="000000"/>
        </w:rPr>
      </w:pPr>
      <w:r>
        <w:rPr>
          <w:color w:val="000000"/>
        </w:rPr>
        <w:t xml:space="preserve">обеспечение хранения скан-образов документов, содержащих ПДн, в соответствии с настоящим Положением; </w:t>
      </w:r>
    </w:p>
    <w:p>
      <w:pPr>
        <w:pStyle w:val="Style29"/>
        <w:numPr>
          <w:ilvl w:val="0"/>
          <w:numId w:val="7"/>
        </w:numPr>
        <w:tabs>
          <w:tab w:val="left" w:pos="851" w:leader="none"/>
          <w:tab w:val="left" w:pos="993" w:leader="none"/>
        </w:tabs>
        <w:ind w:left="993" w:hanging="284"/>
        <w:rPr>
          <w:color w:val="000000"/>
        </w:rPr>
      </w:pPr>
      <w:r>
        <w:rPr>
          <w:color w:val="000000"/>
        </w:rPr>
        <w:t>обязательную регистрацию входящих от граждан отзывов согласий на обработку ПДн, а также запросов граждан по вопросам обработки ПДн отделом делопроизводства Академии и отделом документационного обеспечения филиалов Академии (при его наличии в филиале) в системе ЕОСДО. Филиалы, в которых отсутствует отдел документационного обеспечения, направляют такие отзывы и обращения по защищенному каналу связи - VipNet на регистрацию в отдел делопроизводства Академии;</w:t>
      </w:r>
    </w:p>
    <w:p>
      <w:pPr>
        <w:pStyle w:val="Style29"/>
        <w:numPr>
          <w:ilvl w:val="0"/>
          <w:numId w:val="0"/>
        </w:numPr>
        <w:ind w:left="993" w:hanging="0"/>
        <w:rPr>
          <w:color w:val="000000"/>
        </w:rPr>
      </w:pPr>
      <w:r>
        <w:rPr>
          <w:color w:val="000000"/>
        </w:rPr>
        <w:t>После регистрации поступивших от граждан отзывов согласий на обработку ПДн, а также запросов граждан по вопросам обработки ПДн, отдел делопроизводства Академии (отдел документационного обеспечения филиалов, филиалы) передает оригиналы таких отзывов и обращений, поступивших на бумажном носителе, либо в виде электронного документа, если документ поступил в таком виде, лицу, ответственному за организацию защиты ПДн в процессе их обработки в Академии - директору по правовым вопросам Академии для их регистрации в Журнале регистрации (</w:t>
      </w:r>
      <w:r>
        <w:rPr>
          <w:color w:val="000000"/>
        </w:rPr>
        <w:fldChar w:fldCharType="begin"/>
      </w:r>
      <w:r>
        <w:rPr>
          <w:color w:val="000000"/>
        </w:rPr>
        <w:instrText xml:space="preserve"> REF _Ref150243979 \h </w:instrText>
      </w:r>
      <w:r>
        <w:rPr>
          <w:color w:val="000000"/>
        </w:rPr>
        <w:fldChar w:fldCharType="separate"/>
      </w:r>
      <w:r>
        <w:rPr>
          <w:color w:val="000000"/>
        </w:rPr>
        <w:t>Приложение № 12</w:t>
      </w:r>
      <w:r>
        <w:rPr>
          <w:color w:val="000000"/>
        </w:rPr>
        <w:fldChar w:fldCharType="end"/>
      </w:r>
      <w:r>
        <w:rPr>
          <w:color w:val="000000"/>
        </w:rPr>
        <w:t>) и на дальнейшее хранение. Данные отзывы и обращения передаются директором по правовым вопросам в работу в соответствующее подразделение Академии по защищенным каналам связи. Отзывы и обращения уничтожаются по достижении цели их обработки;</w:t>
      </w:r>
    </w:p>
    <w:p>
      <w:pPr>
        <w:pStyle w:val="Style29"/>
        <w:numPr>
          <w:ilvl w:val="0"/>
          <w:numId w:val="7"/>
        </w:numPr>
        <w:tabs>
          <w:tab w:val="left" w:pos="851" w:leader="none"/>
          <w:tab w:val="left" w:pos="993" w:leader="none"/>
        </w:tabs>
        <w:ind w:left="993" w:hanging="284"/>
        <w:rPr>
          <w:color w:val="000000"/>
        </w:rPr>
      </w:pPr>
      <w:r>
        <w:rPr>
          <w:color w:val="000000"/>
        </w:rPr>
        <w:t xml:space="preserve">выявление неправомерной обработки и осуществление действий, указанных в пункте 14.1. настоящего Положения. </w:t>
      </w:r>
    </w:p>
    <w:p>
      <w:pPr>
        <w:pStyle w:val="Style29"/>
        <w:numPr>
          <w:ilvl w:val="0"/>
          <w:numId w:val="7"/>
        </w:numPr>
        <w:tabs>
          <w:tab w:val="left" w:pos="851" w:leader="none"/>
          <w:tab w:val="left" w:pos="993" w:leader="none"/>
        </w:tabs>
        <w:ind w:left="993" w:hanging="284"/>
        <w:rPr>
          <w:color w:val="000000"/>
        </w:rPr>
      </w:pPr>
      <w:r>
        <w:rPr>
          <w:color w:val="000000"/>
        </w:rPr>
        <w:t>уведомление Субъектов ПДн о допущенных нарушениях или об уничтожении ПДн. Об устранении допущенных нарушений или об уничтожении ПДн Оператор обязан уведомить Субъекта ПДн или его представителя, а в случае, если обращение Субъекта ПДн или его представителя либо запрос уполномоченного органа по защите прав Субъектов ПДн были направлены уполномоченным органом по защите прав Субъектов ПДн, также указанный орган;</w:t>
      </w:r>
    </w:p>
    <w:p>
      <w:pPr>
        <w:pStyle w:val="Style29"/>
        <w:numPr>
          <w:ilvl w:val="0"/>
          <w:numId w:val="7"/>
        </w:numPr>
        <w:tabs>
          <w:tab w:val="left" w:pos="851" w:leader="none"/>
          <w:tab w:val="left" w:pos="993" w:leader="none"/>
        </w:tabs>
        <w:ind w:left="993" w:hanging="284"/>
        <w:rPr/>
      </w:pPr>
      <w:r>
        <w:rPr>
          <w:color w:val="000000"/>
        </w:rPr>
        <w:t xml:space="preserve">осуществление внутреннего контроля соответствия обработки ПДн 152-ФЗ и принятым в соответствии с ним нормативным правовым актам, требованиям к защите ПДн, ЛНА Академии путем проведения лицом, ответственным за организацию защиты ПДн в процессе их обработки в Академии - директором по правовым вопросам Академии проверок соблюдения настоящего Положения; </w:t>
      </w:r>
    </w:p>
    <w:p>
      <w:pPr>
        <w:pStyle w:val="Style29"/>
        <w:numPr>
          <w:ilvl w:val="0"/>
          <w:numId w:val="7"/>
        </w:numPr>
        <w:tabs>
          <w:tab w:val="left" w:pos="851" w:leader="none"/>
          <w:tab w:val="left" w:pos="993" w:leader="none"/>
        </w:tabs>
        <w:ind w:left="993" w:hanging="284"/>
        <w:rPr>
          <w:color w:val="000000"/>
        </w:rPr>
      </w:pPr>
      <w:r>
        <w:rPr>
          <w:color w:val="000000"/>
        </w:rPr>
        <w:t>иные меры, предусмотренные законодательством Российской Федерации в области ПДн и Регламентом ЕС (GDPR).</w:t>
      </w:r>
    </w:p>
    <w:p>
      <w:pPr>
        <w:pStyle w:val="1"/>
        <w:rPr/>
      </w:pPr>
      <w:bookmarkStart w:id="61" w:name="_Toc150263818"/>
      <w:bookmarkStart w:id="62" w:name="_Toc145919147"/>
      <w:bookmarkStart w:id="63" w:name="_Toc100588935"/>
      <w:r>
        <w:rPr/>
        <w:t>Права Субъектов ПДн</w:t>
      </w:r>
      <w:bookmarkEnd w:id="61"/>
      <w:bookmarkEnd w:id="62"/>
      <w:bookmarkEnd w:id="63"/>
    </w:p>
    <w:p>
      <w:pPr>
        <w:pStyle w:val="22"/>
        <w:numPr>
          <w:ilvl w:val="1"/>
          <w:numId w:val="1"/>
        </w:numPr>
        <w:rPr/>
      </w:pPr>
      <w:r>
        <w:rPr/>
        <w:t>Субъекты ПДн имеют право на:</w:t>
      </w:r>
    </w:p>
    <w:p>
      <w:pPr>
        <w:pStyle w:val="Style29"/>
        <w:numPr>
          <w:ilvl w:val="0"/>
          <w:numId w:val="7"/>
        </w:numPr>
        <w:tabs>
          <w:tab w:val="left" w:pos="851" w:leader="none"/>
          <w:tab w:val="left" w:pos="993" w:leader="none"/>
        </w:tabs>
        <w:ind w:left="993" w:hanging="284"/>
        <w:rPr/>
      </w:pPr>
      <w:r>
        <w:rPr>
          <w:color w:val="000000"/>
        </w:rPr>
        <w:t xml:space="preserve">получение полной информации об их ПДн, обрабатываемых в Академии, направив заявление по форме согласно приложению </w:t>
      </w:r>
      <w:r>
        <w:rPr>
          <w:bCs/>
          <w:color w:val="000000"/>
        </w:rPr>
        <w:t>(</w:t>
      </w:r>
      <w:r>
        <w:rPr>
          <w:bCs/>
          <w:color w:val="000000"/>
        </w:rPr>
        <w:fldChar w:fldCharType="begin"/>
      </w:r>
      <w:r>
        <w:rPr>
          <w:bCs/>
          <w:color w:val="000000"/>
        </w:rPr>
        <w:instrText xml:space="preserve"> REF _Ref150243907 \h </w:instrText>
      </w:r>
      <w:r>
        <w:rPr>
          <w:bCs/>
          <w:color w:val="000000"/>
        </w:rPr>
        <w:fldChar w:fldCharType="separate"/>
      </w:r>
      <w:r>
        <w:rPr>
          <w:bCs/>
          <w:color w:val="000000"/>
        </w:rPr>
        <w:t>Приложение № 13</w:t>
      </w:r>
      <w:r>
        <w:rPr>
          <w:bCs/>
          <w:color w:val="000000"/>
        </w:rPr>
        <w:fldChar w:fldCharType="end"/>
      </w:r>
      <w:r>
        <w:rPr>
          <w:bCs/>
          <w:color w:val="000000"/>
        </w:rPr>
        <w:t>);</w:t>
      </w:r>
    </w:p>
    <w:p>
      <w:pPr>
        <w:pStyle w:val="Style29"/>
        <w:numPr>
          <w:ilvl w:val="0"/>
          <w:numId w:val="7"/>
        </w:numPr>
        <w:tabs>
          <w:tab w:val="left" w:pos="851" w:leader="none"/>
          <w:tab w:val="left" w:pos="993" w:leader="none"/>
        </w:tabs>
        <w:ind w:left="993" w:hanging="284"/>
        <w:rPr>
          <w:color w:val="000000"/>
        </w:rPr>
      </w:pPr>
      <w:r>
        <w:rPr>
          <w:color w:val="000000"/>
        </w:rPr>
        <w:t>доступ к своим ПДн, включая право на получение копии любой записи, содержащей их ПДн, за исключением случаев, предусмотренных</w:t>
        <w:br/>
        <w:t>законодательством Российской Федерации в области обработки ПДн;</w:t>
      </w:r>
    </w:p>
    <w:p>
      <w:pPr>
        <w:pStyle w:val="Style29"/>
        <w:numPr>
          <w:ilvl w:val="0"/>
          <w:numId w:val="7"/>
        </w:numPr>
        <w:tabs>
          <w:tab w:val="left" w:pos="851" w:leader="none"/>
          <w:tab w:val="left" w:pos="993" w:leader="none"/>
        </w:tabs>
        <w:ind w:left="993" w:hanging="284"/>
        <w:rPr>
          <w:color w:val="000000"/>
        </w:rPr>
      </w:pPr>
      <w:r>
        <w:rPr>
          <w:color w:val="000000"/>
        </w:rPr>
        <w:t xml:space="preserve">уточнение своих ПДн, их блокирование или уничтожение в случае, если ПДн являются неполными, устаревшими, неточными, незаконно полученными или не являются необходимыми для заявленной цели обработки; </w:t>
      </w:r>
    </w:p>
    <w:p>
      <w:pPr>
        <w:pStyle w:val="Style29"/>
        <w:numPr>
          <w:ilvl w:val="0"/>
          <w:numId w:val="7"/>
        </w:numPr>
        <w:tabs>
          <w:tab w:val="left" w:pos="851" w:leader="none"/>
          <w:tab w:val="left" w:pos="993" w:leader="none"/>
        </w:tabs>
        <w:ind w:left="993" w:hanging="284"/>
        <w:rPr/>
      </w:pPr>
      <w:r>
        <w:rPr>
          <w:color w:val="000000"/>
        </w:rPr>
        <w:t xml:space="preserve">отзыв согласия на обработку ПДн. Субъекты ПДн вправе отозвать согласие на обработку ПДн, заполнив заявление по установленной форме согласно приложению </w:t>
      </w:r>
      <w:r>
        <w:rPr>
          <w:bCs/>
          <w:color w:val="000000"/>
        </w:rPr>
        <w:t>(</w:t>
      </w:r>
      <w:r>
        <w:rPr>
          <w:bCs/>
          <w:color w:val="000000"/>
        </w:rPr>
        <w:fldChar w:fldCharType="begin"/>
      </w:r>
      <w:r>
        <w:rPr>
          <w:bCs/>
          <w:color w:val="000000"/>
        </w:rPr>
        <w:instrText xml:space="preserve"> REF _Ref150243917 \h </w:instrText>
      </w:r>
      <w:r>
        <w:rPr>
          <w:bCs/>
          <w:color w:val="000000"/>
        </w:rPr>
        <w:fldChar w:fldCharType="separate"/>
      </w:r>
      <w:r>
        <w:rPr>
          <w:bCs/>
          <w:color w:val="000000"/>
        </w:rPr>
        <w:t>Приложение № 14</w:t>
      </w:r>
      <w:r>
        <w:rPr>
          <w:bCs/>
          <w:color w:val="000000"/>
        </w:rPr>
        <w:fldChar w:fldCharType="end"/>
      </w:r>
      <w:r>
        <w:rPr>
          <w:bCs/>
          <w:color w:val="000000"/>
        </w:rPr>
        <w:t>)</w:t>
      </w:r>
      <w:r>
        <w:rPr>
          <w:color w:val="000000"/>
        </w:rPr>
        <w:t xml:space="preserve">, либо направив отзыв согласия на обработку ПДн в адрес Академии в произвольной форме в соответствии с частью 2 статьи 9 и частью 5 статьи 21 ФЗ-152. В случае отзыва Субъектом ПДн согласия на обработку ПДн оператор вправе продолжить обработку ПДн без согласия Субъекта ПДн при наличии оснований, указанных в </w:t>
      </w:r>
      <w:r>
        <w:fldChar w:fldCharType="begin"/>
      </w:r>
      <w:r>
        <w:rPr>
          <w:color w:val="000000"/>
        </w:rPr>
        <w:instrText xml:space="preserve"> HYPERLINK "https://docs.cntd.ru/document/901990046" \l "7DE0K6"</w:instrText>
      </w:r>
      <w:r>
        <w:rPr>
          <w:color w:val="000000"/>
        </w:rPr>
        <w:fldChar w:fldCharType="separate"/>
      </w:r>
      <w:r>
        <w:rPr>
          <w:color w:val="000000"/>
        </w:rPr>
        <w:t>пунктах 2</w:t>
        <w:noBreakHyphen/>
        <w:t>11 части 1 статьи 6</w:t>
      </w:r>
      <w:r>
        <w:rPr>
          <w:color w:val="000000"/>
        </w:rPr>
        <w:fldChar w:fldCharType="end"/>
      </w:r>
      <w:r>
        <w:rPr>
          <w:color w:val="000000"/>
        </w:rPr>
        <w:t xml:space="preserve">, </w:t>
      </w:r>
      <w:r>
        <w:fldChar w:fldCharType="begin"/>
      </w:r>
      <w:r>
        <w:rPr>
          <w:color w:val="000000"/>
        </w:rPr>
        <w:instrText xml:space="preserve"> HYPERLINK "https://docs.cntd.ru/document/901990046" \l "7DO0K9"</w:instrText>
      </w:r>
      <w:r>
        <w:rPr>
          <w:color w:val="000000"/>
        </w:rPr>
        <w:fldChar w:fldCharType="separate"/>
      </w:r>
      <w:r>
        <w:rPr>
          <w:color w:val="000000"/>
        </w:rPr>
        <w:t>части 2 статьи 10</w:t>
      </w:r>
      <w:r>
        <w:rPr>
          <w:color w:val="000000"/>
        </w:rPr>
        <w:fldChar w:fldCharType="end"/>
      </w:r>
      <w:r>
        <w:rPr>
          <w:color w:val="000000"/>
        </w:rPr>
        <w:t xml:space="preserve"> и </w:t>
      </w:r>
      <w:r>
        <w:fldChar w:fldCharType="begin"/>
      </w:r>
      <w:r>
        <w:rPr>
          <w:color w:val="000000"/>
        </w:rPr>
        <w:instrText xml:space="preserve"> HYPERLINK "https://docs.cntd.ru/document/901990046" \l "7E20KE"</w:instrText>
      </w:r>
      <w:r>
        <w:rPr>
          <w:color w:val="000000"/>
        </w:rPr>
        <w:fldChar w:fldCharType="separate"/>
      </w:r>
      <w:r>
        <w:rPr>
          <w:color w:val="000000"/>
        </w:rPr>
        <w:t>части 2 статьи 11 ФЗ-152</w:t>
      </w:r>
      <w:r>
        <w:rPr>
          <w:color w:val="000000"/>
        </w:rPr>
        <w:fldChar w:fldCharType="end"/>
      </w:r>
      <w:r>
        <w:rPr>
          <w:color w:val="000000"/>
        </w:rPr>
        <w:t>;</w:t>
      </w:r>
    </w:p>
    <w:p>
      <w:pPr>
        <w:pStyle w:val="Style29"/>
        <w:numPr>
          <w:ilvl w:val="0"/>
          <w:numId w:val="7"/>
        </w:numPr>
        <w:tabs>
          <w:tab w:val="left" w:pos="851" w:leader="none"/>
          <w:tab w:val="left" w:pos="993" w:leader="none"/>
        </w:tabs>
        <w:ind w:left="993" w:hanging="284"/>
        <w:rPr>
          <w:color w:val="000000"/>
        </w:rPr>
      </w:pPr>
      <w:r>
        <w:rPr>
          <w:color w:val="000000"/>
        </w:rPr>
        <w:t xml:space="preserve">принятие предусмотренных законом мер по защите своих прав; обжалование действия или бездействия Академии, осуществляемого с нарушением требований законодательства Российской Федерации в области ПДн, в уполномоченный орган по защите прав Субъектов ПДн или в суд; </w:t>
      </w:r>
    </w:p>
    <w:p>
      <w:pPr>
        <w:pStyle w:val="Style29"/>
        <w:numPr>
          <w:ilvl w:val="0"/>
          <w:numId w:val="7"/>
        </w:numPr>
        <w:tabs>
          <w:tab w:val="left" w:pos="851" w:leader="none"/>
          <w:tab w:val="left" w:pos="993" w:leader="none"/>
        </w:tabs>
        <w:ind w:left="993" w:hanging="284"/>
        <w:rPr>
          <w:color w:val="000000"/>
        </w:rPr>
      </w:pPr>
      <w:r>
        <w:rPr>
          <w:color w:val="000000"/>
        </w:rPr>
        <w:t>в соответствии с Регламентом ЕС (GDPR) иностранный Субъект ПДн также имеет право подать жалобу в надзорный орган государства-члена ЕС по месту регистрации или проживания, месту работы или по месту, где произошло предполагаемое нарушение Регламента ЕС (GDPR);</w:t>
      </w:r>
    </w:p>
    <w:p>
      <w:pPr>
        <w:pStyle w:val="Style29"/>
        <w:numPr>
          <w:ilvl w:val="0"/>
          <w:numId w:val="7"/>
        </w:numPr>
        <w:tabs>
          <w:tab w:val="left" w:pos="851" w:leader="none"/>
          <w:tab w:val="left" w:pos="993" w:leader="none"/>
        </w:tabs>
        <w:ind w:left="993" w:hanging="284"/>
        <w:rPr>
          <w:color w:val="000000"/>
        </w:rPr>
      </w:pPr>
      <w:r>
        <w:rPr>
          <w:color w:val="000000"/>
        </w:rPr>
        <w:t>осуществление иных предусмотренных законодательством прав.</w:t>
      </w:r>
    </w:p>
    <w:p>
      <w:pPr>
        <w:pStyle w:val="1"/>
        <w:rPr/>
      </w:pPr>
      <w:bookmarkStart w:id="64" w:name="_Toc150263819"/>
      <w:bookmarkStart w:id="65" w:name="_Toc145919148"/>
      <w:bookmarkStart w:id="66" w:name="_Toc100588936"/>
      <w:r>
        <w:rPr/>
        <w:t>Контроль за соблюдением законодательства Российской Федерации и ЛНА Академии в области ПДн, в том числе требований</w:t>
      </w:r>
      <w:r>
        <w:rPr>
          <w:szCs w:val="32"/>
        </w:rPr>
        <w:t xml:space="preserve"> к защите ПДн</w:t>
      </w:r>
      <w:bookmarkEnd w:id="64"/>
      <w:bookmarkEnd w:id="65"/>
      <w:bookmarkEnd w:id="66"/>
    </w:p>
    <w:p>
      <w:pPr>
        <w:pStyle w:val="22"/>
        <w:numPr>
          <w:ilvl w:val="1"/>
          <w:numId w:val="1"/>
        </w:numPr>
        <w:rPr/>
      </w:pPr>
      <w:r>
        <w:rPr/>
        <w:t xml:space="preserve">Контроль за соблюдением структурными подразделениями Академии и ее филиалами законодательства Российской Федерации и ЛНА Академии в области ПДн, в том числе требований к защите ПДн, осуществляется с целью проверки соответствия обработки ПДн в структурных подразделениях Академии и ее филиалах законодательству Российской Федерации и ЛНА Академии в области ПДн, в том числе требованиям к защите ПДн, а также принятых мер, направленных на предотвращение и выявление нарушений законодательства Российской Федерации в области ПДн, выявления возможных каналов утечки и несанкционированного доступа к ПДн, устранения последствий таких нарушений. </w:t>
      </w:r>
    </w:p>
    <w:p>
      <w:pPr>
        <w:pStyle w:val="22"/>
        <w:numPr>
          <w:ilvl w:val="1"/>
          <w:numId w:val="1"/>
        </w:numPr>
        <w:rPr/>
      </w:pPr>
      <w:r>
        <w:rPr/>
        <w:t xml:space="preserve">Внутренний контроль за соблюдением структурными подразделениями Академии и ее филиалами законодательства Российской Федерации и ЛНА Академии в области ПДн, в том числе требований к защите ПДн, осуществляется лицом, ответственным за организацию защиты ПДн в процессе их обработки в Академии – директором по правовым вопросам. </w:t>
      </w:r>
    </w:p>
    <w:p>
      <w:pPr>
        <w:pStyle w:val="22"/>
        <w:numPr>
          <w:ilvl w:val="1"/>
          <w:numId w:val="1"/>
        </w:numPr>
        <w:rPr/>
      </w:pPr>
      <w:r>
        <w:rPr/>
        <w:t>Внутренний контроль соответствия обработки ПДн ФЗ-152 и принятым в соответствии с ним нормативным правовым актам, требованиям к защите ПДн, настоящему Положению, ЛНА Академии осуществляет Группа правового и корпоративного сопровождения</w:t>
      </w:r>
    </w:p>
    <w:p>
      <w:pPr>
        <w:pStyle w:val="22"/>
        <w:numPr>
          <w:ilvl w:val="1"/>
          <w:numId w:val="1"/>
        </w:numPr>
        <w:rPr/>
      </w:pPr>
      <w:r>
        <w:rPr/>
        <w:t>Персональная ответственность за соблюдение требований законодательства Российской Федерации и ЛНА Академии в области ПДн в структурных подразделениях Академии и ее филиалах, а также за обеспечение конфиденциальности и безопасности ПДн в указанных подразделениях Академии возлагается на их руководителей.</w:t>
      </w:r>
    </w:p>
    <w:p>
      <w:pPr>
        <w:pStyle w:val="1"/>
        <w:rPr/>
      </w:pPr>
      <w:bookmarkStart w:id="67" w:name="_Toc150263820"/>
      <w:bookmarkStart w:id="68" w:name="_Toc145919149"/>
      <w:bookmarkStart w:id="69" w:name="_Toc100588937"/>
      <w:r>
        <w:rPr/>
        <w:t>Порядок осуществления внутреннего контроля за соблюдением законодательства Российской Федерации и ЛНА Академии в области ПДн, в том числе требований к защите ПДн</w:t>
      </w:r>
      <w:bookmarkEnd w:id="67"/>
      <w:bookmarkEnd w:id="68"/>
      <w:bookmarkEnd w:id="69"/>
      <w:r>
        <w:rPr/>
        <w:t xml:space="preserve"> </w:t>
      </w:r>
    </w:p>
    <w:p>
      <w:pPr>
        <w:pStyle w:val="22"/>
        <w:numPr>
          <w:ilvl w:val="1"/>
          <w:numId w:val="1"/>
        </w:numPr>
        <w:rPr/>
      </w:pPr>
      <w:bookmarkStart w:id="70" w:name="_Toc150263821"/>
      <w:bookmarkStart w:id="71" w:name="_Toc145919150"/>
      <w:r>
        <w:rPr/>
        <w:t xml:space="preserve">Внутренний контроль соответствия обработки ПДн ФЗ-152 и принятым в соответствии с ним нормативным правовым актам, требованиям к защите ПДн, ПТ-001 «Политика в области организации обработки и обеспечения безопасности персональных данных», ЛНА Академии осуществляет лицо, ответственное за организацию защиты ПДн в процессе их обработки в Академии- директор по правовым вопросам. </w:t>
      </w:r>
    </w:p>
    <w:p>
      <w:pPr>
        <w:pStyle w:val="22"/>
        <w:numPr>
          <w:ilvl w:val="1"/>
          <w:numId w:val="1"/>
        </w:numPr>
        <w:rPr/>
      </w:pPr>
      <w:r>
        <w:rPr/>
        <w:t>Внутренний контроль осуществляется путем проведения проверок соблюдения требований обеспечения безопасности ПДн.</w:t>
      </w:r>
    </w:p>
    <w:p>
      <w:pPr>
        <w:pStyle w:val="22"/>
        <w:numPr>
          <w:ilvl w:val="1"/>
          <w:numId w:val="1"/>
        </w:numPr>
        <w:rPr/>
      </w:pPr>
      <w:r>
        <w:rPr/>
        <w:t xml:space="preserve">Председателем комиссии, формируемой для проведения проверки соблюдения требований обеспечения безопасности ПДн, назначается лицо, ответственное за организацию защиты ПДн в процессе их обработки в Академии — директор по правовым вопросам. </w:t>
      </w:r>
    </w:p>
    <w:p>
      <w:pPr>
        <w:pStyle w:val="22"/>
        <w:numPr>
          <w:ilvl w:val="1"/>
          <w:numId w:val="1"/>
        </w:numPr>
        <w:rPr/>
      </w:pPr>
      <w:r>
        <w:rPr/>
        <w:t xml:space="preserve">Проверки соблюдения требований обеспечения безопасности ПДн проводятся на основании приказа Ректора Академии (лица, его замещающего) с целью проверки соблюдения структурными подразделениями Академии требований ФЗ-152, а также ЛНА Академии, направленных на обеспечение безопасности ПДн в процессе их обработки, в том числе настоящего Положения. </w:t>
      </w:r>
    </w:p>
    <w:p>
      <w:pPr>
        <w:pStyle w:val="22"/>
        <w:numPr>
          <w:ilvl w:val="1"/>
          <w:numId w:val="1"/>
        </w:numPr>
        <w:rPr/>
      </w:pPr>
      <w:r>
        <w:rPr/>
        <w:t xml:space="preserve">В ходе проверки соблюдения требований обеспечения безопасности ПДн проводятся: </w:t>
      </w:r>
    </w:p>
    <w:p>
      <w:pPr>
        <w:pStyle w:val="Style29"/>
        <w:numPr>
          <w:ilvl w:val="0"/>
          <w:numId w:val="31"/>
        </w:numPr>
        <w:ind w:left="993" w:hanging="284"/>
        <w:rPr/>
      </w:pPr>
      <w:r>
        <w:rPr/>
        <w:t xml:space="preserve">оценка соответствия обработки ПДн в структурных подразделениях Академии установленным требованиям ЛНА в области ПДн; </w:t>
      </w:r>
    </w:p>
    <w:p>
      <w:pPr>
        <w:pStyle w:val="Style29"/>
        <w:numPr>
          <w:ilvl w:val="0"/>
          <w:numId w:val="31"/>
        </w:numPr>
        <w:ind w:left="993" w:hanging="284"/>
        <w:rPr/>
      </w:pPr>
      <w:r>
        <w:rPr/>
        <w:t xml:space="preserve">выявление в структурных подразделениях фактов несанкционированного доступа к ПДн, уничтожения, изменения, блокирования, копирования, незаконных передачи или распространения ПДн, разглашения информации, содержащей ПДн, либо утраты документов или иных материальных носителей информации, содержащих ПДн; </w:t>
      </w:r>
    </w:p>
    <w:p>
      <w:pPr>
        <w:pStyle w:val="Style29"/>
        <w:numPr>
          <w:ilvl w:val="0"/>
          <w:numId w:val="31"/>
        </w:numPr>
        <w:ind w:left="993" w:hanging="284"/>
        <w:rPr/>
      </w:pPr>
      <w:r>
        <w:rPr/>
        <w:t xml:space="preserve">выявление возможных каналов утечки и несанкционированного доступа к ПДн, устранения последствий таких нарушений; </w:t>
      </w:r>
    </w:p>
    <w:p>
      <w:pPr>
        <w:pStyle w:val="Style29"/>
        <w:numPr>
          <w:ilvl w:val="0"/>
          <w:numId w:val="31"/>
        </w:numPr>
        <w:ind w:left="993" w:hanging="284"/>
        <w:rPr/>
      </w:pPr>
      <w:r>
        <w:rPr/>
        <w:t>анализ причин и условий, способствующих совершению в структурных подразделениях нарушений установленных требований, разработка рекомендаций по их устранению.</w:t>
      </w:r>
      <w:r>
        <w:br w:type="page"/>
      </w:r>
    </w:p>
    <w:p>
      <w:pPr>
        <w:pStyle w:val="22"/>
        <w:numPr>
          <w:ilvl w:val="1"/>
          <w:numId w:val="1"/>
        </w:numPr>
        <w:rPr/>
      </w:pPr>
      <w:r>
        <w:rPr/>
        <w:t xml:space="preserve">Комиссия, формируемая для проведения проверки соблюдения требований обеспечения безопасности ПДн в процессе их обработки, в праве: </w:t>
      </w:r>
    </w:p>
    <w:p>
      <w:pPr>
        <w:pStyle w:val="Style29"/>
        <w:numPr>
          <w:ilvl w:val="0"/>
          <w:numId w:val="31"/>
        </w:numPr>
        <w:ind w:left="993" w:hanging="284"/>
        <w:rPr/>
      </w:pPr>
      <w:r>
        <w:rPr/>
        <w:t xml:space="preserve">запрашивать и получать необходимые документы (сведения) для достижения целей проведения проверки; </w:t>
      </w:r>
    </w:p>
    <w:p>
      <w:pPr>
        <w:pStyle w:val="Style29"/>
        <w:numPr>
          <w:ilvl w:val="0"/>
          <w:numId w:val="31"/>
        </w:numPr>
        <w:ind w:left="993" w:hanging="284"/>
        <w:rPr/>
      </w:pPr>
      <w:r>
        <w:rPr/>
        <w:t xml:space="preserve">получать доступ к информационным системам ПДн в режиме просмотра и выборки необходимой информации; </w:t>
      </w:r>
    </w:p>
    <w:p>
      <w:pPr>
        <w:pStyle w:val="Style29"/>
        <w:numPr>
          <w:ilvl w:val="0"/>
          <w:numId w:val="31"/>
        </w:numPr>
        <w:ind w:left="993" w:hanging="284"/>
        <w:rPr/>
      </w:pPr>
      <w:r>
        <w:rPr/>
        <w:t>в случае необходимости ходатайствовать перед руководством структурного подразделения о принятии мер по приостановлению или прекращению обработки ПДн, осуществляемой с нарушениями требований законодательства Российской Федерации и ЛНА Академии в области ПДн.</w:t>
      </w:r>
    </w:p>
    <w:p>
      <w:pPr>
        <w:pStyle w:val="22"/>
        <w:numPr>
          <w:ilvl w:val="1"/>
          <w:numId w:val="1"/>
        </w:numPr>
        <w:rPr/>
      </w:pPr>
      <w:r>
        <w:rPr/>
        <w:t>При выявлении в структурных подразделениях Академии фактов нарушения требований ФЗ-152, а также ЛНА Академии, направленных на обеспечение безопасности ПДн в процессе их обработки, в том числе настоящего Положения, на основании приказа Ректора (лица, его замещающего) проводится служебная проверка в соответствии с требованиями ЛНА Академии.</w:t>
      </w:r>
    </w:p>
    <w:p>
      <w:pPr>
        <w:pStyle w:val="22"/>
        <w:numPr>
          <w:ilvl w:val="1"/>
          <w:numId w:val="1"/>
        </w:numPr>
        <w:rPr/>
      </w:pPr>
      <w:r>
        <w:rPr/>
        <w:t xml:space="preserve">По итогам проверки соблюдения требований обеспечения безопасности ПДн либо служебной проверки Комиссия составляет акт (заключение), который после его утверждения Ректором Академии вместе с материалами проверки, хранится у лица, ответственного за организацию защиты ПДн в процессе их обработки в Академии </w:t>
      </w:r>
      <w:r>
        <w:rPr>
          <w:rFonts w:eastAsia="Symbol" w:cs="Symbol" w:ascii="Symbol" w:hAnsi="Symbol"/>
        </w:rPr>
        <w:t></w:t>
      </w:r>
      <w:r>
        <w:rPr/>
        <w:t xml:space="preserve"> директора по правовым вопросам.  </w:t>
      </w:r>
    </w:p>
    <w:p>
      <w:pPr>
        <w:pStyle w:val="1"/>
        <w:rPr/>
      </w:pPr>
      <w:r>
        <w:rPr/>
        <w:t xml:space="preserve">Порядок действий при инцидентах с </w:t>
      </w:r>
      <w:bookmarkStart w:id="72" w:name="_Toc1005889381"/>
      <w:bookmarkEnd w:id="72"/>
      <w:r>
        <w:rPr/>
        <w:t>ПДн</w:t>
      </w:r>
      <w:bookmarkEnd w:id="70"/>
      <w:bookmarkEnd w:id="71"/>
    </w:p>
    <w:p>
      <w:pPr>
        <w:pStyle w:val="22"/>
        <w:numPr>
          <w:ilvl w:val="1"/>
          <w:numId w:val="1"/>
        </w:numPr>
        <w:rPr/>
      </w:pPr>
      <w:r>
        <w:rPr/>
        <w:t>В случае выявления неправомерной обработки ПДн, осуществляемой Оператором или лицом, действующим по поручению Оператора, Оператор в срок, не превышающий 3 (трех) рабочих дней с даты этого выявления, обязан прекратить неправомерную обработку ПДн или обеспечить прекращение неправомерной обработки ПДн лицом, действующим по поручению Оператора. В случае, если обеспечить правомерность обработки ПДн невозможно, Оператор в срок, не превышающий 10 (десяти) рабочих дней с даты выявления неправомерной обработки ПДн, обязан уничтожить такие ПДн или обеспечить их уничтожение. Об устранении допущенных нарушений или об уничтожении ПДн Оператор обязан уведомить Субъекта ПДн или его представителя, а в случае, если обращение Субъекта ПДн или его представителя либо запрос уполномоченного органа по защите прав Субъектов ПДн были направлены уполномоченным органом по защите прав Субъектов ПДн, также указанный орган</w:t>
      </w:r>
    </w:p>
    <w:p>
      <w:pPr>
        <w:pStyle w:val="22"/>
        <w:numPr>
          <w:ilvl w:val="1"/>
          <w:numId w:val="1"/>
        </w:numPr>
        <w:rPr/>
      </w:pPr>
      <w:r>
        <w:rPr/>
        <w:t>В случае установления факта неправомерной или случайной передачи (предоставления, распространения, доступа) ПДн, повлекшей нарушение прав Субъектов ПДн, Оператор обязан с момента выявления такого инцидента Оператором, уполномоченным органом по защите прав Субъектов ПДн или иным заинтересованным лицом уведомить уполномоченный орган по защите прав Субъектов ПДн:</w:t>
      </w:r>
    </w:p>
    <w:p>
      <w:pPr>
        <w:pStyle w:val="Style29"/>
        <w:numPr>
          <w:ilvl w:val="0"/>
          <w:numId w:val="7"/>
        </w:numPr>
        <w:tabs>
          <w:tab w:val="left" w:pos="851" w:leader="none"/>
          <w:tab w:val="left" w:pos="993" w:leader="none"/>
        </w:tabs>
        <w:ind w:left="993" w:hanging="284"/>
        <w:rPr/>
      </w:pPr>
      <w:r>
        <w:rPr/>
        <w:t>в течение 24 (двадцати четырех) часов о произошедшем инциденте, о предполагаемых причинах, повлекших нарушение прав Субъектов ПДн, и предполагаемом вреде, нанесенном правам Субъектов ПДн,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ПДн, по вопросам, связанным с выявленным инцидентом;</w:t>
      </w:r>
    </w:p>
    <w:p>
      <w:pPr>
        <w:pStyle w:val="Style29"/>
        <w:numPr>
          <w:ilvl w:val="0"/>
          <w:numId w:val="7"/>
        </w:numPr>
        <w:tabs>
          <w:tab w:val="left" w:pos="851" w:leader="none"/>
          <w:tab w:val="left" w:pos="993" w:leader="none"/>
        </w:tabs>
        <w:ind w:left="993" w:hanging="284"/>
        <w:rPr/>
      </w:pPr>
      <w:r>
        <w:rPr/>
        <w:t>в течение 72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pPr>
        <w:pStyle w:val="1"/>
        <w:rPr/>
      </w:pPr>
      <w:bookmarkStart w:id="73" w:name="_Toc145919151"/>
      <w:bookmarkStart w:id="74" w:name="_Toc100588938"/>
      <w:bookmarkStart w:id="75" w:name="_Toc150263822"/>
      <w:r>
        <w:rPr/>
        <w:t>Ответственность за нарушение норм, регулирующих обработку и защиту ПДн</w:t>
      </w:r>
      <w:bookmarkEnd w:id="75"/>
      <w:r>
        <w:rPr/>
        <w:t xml:space="preserve"> </w:t>
      </w:r>
      <w:bookmarkEnd w:id="73"/>
      <w:bookmarkEnd w:id="74"/>
    </w:p>
    <w:p>
      <w:pPr>
        <w:pStyle w:val="22"/>
        <w:numPr>
          <w:ilvl w:val="1"/>
          <w:numId w:val="1"/>
        </w:numPr>
        <w:rPr/>
      </w:pPr>
      <w:r>
        <w:rPr/>
        <w:t>Лица, виновные в нарушении требований законодательства Российской Федерации и ЛНА Академии в области ПДн, несут дисциплинарную, административную, гражданско- правовую и уголовную ответственность в соответствии с законодательством Российской Федерации.</w:t>
      </w:r>
    </w:p>
    <w:p>
      <w:pPr>
        <w:pStyle w:val="22"/>
        <w:numPr>
          <w:ilvl w:val="1"/>
          <w:numId w:val="1"/>
        </w:numPr>
        <w:rPr/>
      </w:pPr>
      <w:r>
        <w:rPr/>
        <w:t>Моральный вред, причиненный Субъекту ПДн вследствие нарушения его прав, нарушения правил обработки ПДн, установленных законодательством Российской Федерации и ЛНА Академии в области ПДн, а также требований к защите ПДн, подлежит возмещению в соответствии с законодательством Российской Федерации независимо от возмещения имущественного вреда и понесенных Субъектом ПДн убытков.</w:t>
      </w:r>
    </w:p>
    <w:p>
      <w:pPr>
        <w:pStyle w:val="1"/>
        <w:rPr/>
      </w:pPr>
      <w:bookmarkStart w:id="76" w:name="_Toc150263823"/>
      <w:bookmarkStart w:id="77" w:name="_Toc145919152"/>
      <w:bookmarkStart w:id="78" w:name="_Toc100588926"/>
      <w:r>
        <w:rPr/>
        <w:t>Нормативные ссылки</w:t>
      </w:r>
      <w:bookmarkEnd w:id="76"/>
      <w:bookmarkEnd w:id="77"/>
      <w:bookmarkEnd w:id="78"/>
    </w:p>
    <w:p>
      <w:pPr>
        <w:pStyle w:val="22"/>
        <w:numPr>
          <w:ilvl w:val="1"/>
          <w:numId w:val="1"/>
        </w:numPr>
        <w:rPr/>
      </w:pPr>
      <w:r>
        <w:rPr/>
        <w:t>Положение разработано и определяется в соответствии со следующими нормативными правовыми актами:</w:t>
      </w:r>
    </w:p>
    <w:p>
      <w:pPr>
        <w:pStyle w:val="Style29"/>
        <w:numPr>
          <w:ilvl w:val="0"/>
          <w:numId w:val="7"/>
        </w:numPr>
        <w:tabs>
          <w:tab w:val="left" w:pos="851" w:leader="none"/>
          <w:tab w:val="left" w:pos="993" w:leader="none"/>
        </w:tabs>
        <w:ind w:left="993" w:hanging="284"/>
        <w:rPr>
          <w:color w:val="000000"/>
        </w:rPr>
      </w:pPr>
      <w:r>
        <w:rPr>
          <w:color w:val="000000"/>
        </w:rPr>
        <w:t>Конституция Российской Федерации;</w:t>
      </w:r>
    </w:p>
    <w:p>
      <w:pPr>
        <w:pStyle w:val="Style29"/>
        <w:numPr>
          <w:ilvl w:val="0"/>
          <w:numId w:val="7"/>
        </w:numPr>
        <w:tabs>
          <w:tab w:val="left" w:pos="851" w:leader="none"/>
          <w:tab w:val="left" w:pos="993" w:leader="none"/>
        </w:tabs>
        <w:ind w:left="993" w:hanging="284"/>
        <w:rPr>
          <w:color w:val="000000"/>
        </w:rPr>
      </w:pPr>
      <w:r>
        <w:rPr>
          <w:color w:val="000000"/>
        </w:rPr>
        <w:t>Трудовой кодекс Российской Федерации;</w:t>
      </w:r>
    </w:p>
    <w:p>
      <w:pPr>
        <w:pStyle w:val="Style29"/>
        <w:numPr>
          <w:ilvl w:val="0"/>
          <w:numId w:val="7"/>
        </w:numPr>
        <w:tabs>
          <w:tab w:val="left" w:pos="851" w:leader="none"/>
          <w:tab w:val="left" w:pos="993" w:leader="none"/>
        </w:tabs>
        <w:ind w:left="993" w:hanging="284"/>
        <w:rPr>
          <w:color w:val="000000"/>
        </w:rPr>
      </w:pPr>
      <w:r>
        <w:rPr>
          <w:color w:val="000000"/>
        </w:rPr>
        <w:t>Федеральный закон от 27 июля 2006 г. № 152-ФЗ «О персональных данных»;</w:t>
      </w:r>
    </w:p>
    <w:p>
      <w:pPr>
        <w:pStyle w:val="Style29"/>
        <w:numPr>
          <w:ilvl w:val="0"/>
          <w:numId w:val="7"/>
        </w:numPr>
        <w:tabs>
          <w:tab w:val="left" w:pos="851" w:leader="none"/>
          <w:tab w:val="left" w:pos="993" w:leader="none"/>
        </w:tabs>
        <w:ind w:left="993" w:hanging="284"/>
        <w:rPr>
          <w:color w:val="000000"/>
        </w:rPr>
      </w:pPr>
      <w:r>
        <w:rPr>
          <w:color w:val="000000"/>
        </w:rPr>
        <w:t>Федеральный закон от 29 декабря 2012 г. № 273-ФЗ «Об образовании в Российской Федерации»;</w:t>
      </w:r>
    </w:p>
    <w:p>
      <w:pPr>
        <w:pStyle w:val="Style29"/>
        <w:numPr>
          <w:ilvl w:val="0"/>
          <w:numId w:val="7"/>
        </w:numPr>
        <w:tabs>
          <w:tab w:val="left" w:pos="851" w:leader="none"/>
          <w:tab w:val="left" w:pos="993" w:leader="none"/>
        </w:tabs>
        <w:ind w:left="993" w:hanging="284"/>
        <w:rPr>
          <w:color w:val="000000"/>
        </w:rPr>
      </w:pPr>
      <w:r>
        <w:rPr>
          <w:color w:val="000000"/>
        </w:rPr>
        <w:t xml:space="preserve">Указ Президента Российской Федерации от 06 марта 1997 г. № 188 «Об утверждении Перечня сведений конфиденциального характера»; </w:t>
      </w:r>
    </w:p>
    <w:p>
      <w:pPr>
        <w:pStyle w:val="Style29"/>
        <w:numPr>
          <w:ilvl w:val="0"/>
          <w:numId w:val="7"/>
        </w:numPr>
        <w:tabs>
          <w:tab w:val="left" w:pos="851" w:leader="none"/>
          <w:tab w:val="left" w:pos="993" w:leader="none"/>
        </w:tabs>
        <w:ind w:left="993" w:hanging="284"/>
        <w:rPr>
          <w:color w:val="000000"/>
        </w:rPr>
      </w:pPr>
      <w:r>
        <w:rPr>
          <w:color w:val="000000"/>
        </w:rPr>
        <w:t xml:space="preserve">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w:t>
      </w:r>
    </w:p>
    <w:p>
      <w:pPr>
        <w:pStyle w:val="Style29"/>
        <w:numPr>
          <w:ilvl w:val="0"/>
          <w:numId w:val="7"/>
        </w:numPr>
        <w:tabs>
          <w:tab w:val="left" w:pos="851" w:leader="none"/>
          <w:tab w:val="left" w:pos="993" w:leader="none"/>
        </w:tabs>
        <w:ind w:left="993" w:hanging="284"/>
        <w:rPr>
          <w:color w:val="000000"/>
        </w:rPr>
      </w:pPr>
      <w:r>
        <w:rPr>
          <w:color w:val="000000"/>
        </w:rPr>
        <w:t xml:space="preserve">приказ Роскомнадзора от 05 сентября 2013 г. № 996 «Об утверждении требований и методов по обезличиванию персональных данных»; </w:t>
      </w:r>
    </w:p>
    <w:p>
      <w:pPr>
        <w:pStyle w:val="Style29"/>
        <w:numPr>
          <w:ilvl w:val="0"/>
          <w:numId w:val="7"/>
        </w:numPr>
        <w:tabs>
          <w:tab w:val="left" w:pos="851" w:leader="none"/>
          <w:tab w:val="left" w:pos="993" w:leader="none"/>
        </w:tabs>
        <w:ind w:left="993" w:hanging="284"/>
        <w:rPr>
          <w:color w:val="000000"/>
        </w:rPr>
      </w:pPr>
      <w:r>
        <w:rPr>
          <w:color w:val="000000"/>
        </w:rPr>
        <w:t>приказ Роскомнадзора от 28.10.2022 № 179 «Об утверждении Требований к подтверждению уничтожения персональных данных»;</w:t>
      </w:r>
    </w:p>
    <w:p>
      <w:pPr>
        <w:pStyle w:val="Style29"/>
        <w:numPr>
          <w:ilvl w:val="0"/>
          <w:numId w:val="7"/>
        </w:numPr>
        <w:tabs>
          <w:tab w:val="left" w:pos="851" w:leader="none"/>
          <w:tab w:val="left" w:pos="993" w:leader="none"/>
        </w:tabs>
        <w:ind w:left="993" w:hanging="284"/>
        <w:rPr>
          <w:color w:val="000000"/>
        </w:rPr>
      </w:pPr>
      <w:r>
        <w:rPr>
          <w:color w:val="000000"/>
        </w:rPr>
        <w:t>приказ Роскомнадзора от 14.11.2022 № 187 «Об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w:t>
      </w:r>
    </w:p>
    <w:p>
      <w:pPr>
        <w:pStyle w:val="Style29"/>
        <w:numPr>
          <w:ilvl w:val="0"/>
          <w:numId w:val="7"/>
        </w:numPr>
        <w:tabs>
          <w:tab w:val="left" w:pos="851" w:leader="none"/>
          <w:tab w:val="left" w:pos="993" w:leader="none"/>
        </w:tabs>
        <w:ind w:left="993" w:hanging="284"/>
        <w:rPr>
          <w:color w:val="000000"/>
        </w:rPr>
      </w:pPr>
      <w:r>
        <w:rPr>
          <w:color w:val="000000"/>
        </w:rPr>
        <w:t xml:space="preserve">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w:t>
      </w:r>
    </w:p>
    <w:p>
      <w:pPr>
        <w:pStyle w:val="Style29"/>
        <w:numPr>
          <w:ilvl w:val="0"/>
          <w:numId w:val="7"/>
        </w:numPr>
        <w:tabs>
          <w:tab w:val="left" w:pos="851" w:leader="none"/>
          <w:tab w:val="left" w:pos="993" w:leader="none"/>
        </w:tabs>
        <w:ind w:left="993" w:hanging="284"/>
        <w:rPr>
          <w:color w:val="000000"/>
        </w:rPr>
      </w:pPr>
      <w:r>
        <w:rPr>
          <w:color w:val="000000"/>
        </w:rPr>
        <w:t>постановление Правительства Российской Федерации от 06 июля 2008 г.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pPr>
        <w:pStyle w:val="Style29"/>
        <w:numPr>
          <w:ilvl w:val="0"/>
          <w:numId w:val="7"/>
        </w:numPr>
        <w:tabs>
          <w:tab w:val="left" w:pos="851" w:leader="none"/>
          <w:tab w:val="left" w:pos="993" w:leader="none"/>
        </w:tabs>
        <w:ind w:left="993" w:hanging="284"/>
        <w:rPr>
          <w:color w:val="000000"/>
        </w:rPr>
      </w:pPr>
      <w:r>
        <w:rPr>
          <w:color w:val="000000"/>
        </w:rPr>
        <w:t xml:space="preserve">постановление Правительства Российской Федерации от 01 ноября 2012 г. № 1119 «Об утверждении требований к защите персональных данных при их обработке в информационных системах персональных данных»; </w:t>
      </w:r>
    </w:p>
    <w:p>
      <w:pPr>
        <w:pStyle w:val="Style29"/>
        <w:numPr>
          <w:ilvl w:val="0"/>
          <w:numId w:val="7"/>
        </w:numPr>
        <w:tabs>
          <w:tab w:val="left" w:pos="851" w:leader="none"/>
          <w:tab w:val="left" w:pos="993" w:leader="none"/>
        </w:tabs>
        <w:ind w:left="993" w:hanging="284"/>
        <w:rPr>
          <w:color w:val="000000"/>
        </w:rPr>
      </w:pPr>
      <w:r>
        <w:rPr>
          <w:color w:val="000000"/>
        </w:rPr>
        <w:t>постановление Правительства Российской Федерации от 26 августа 2013 г. № 729 «О федеральной информационной системе «Федеральный реестр сведений о документах об образовании и (или) о квалификации, документах об обучении»;</w:t>
      </w:r>
    </w:p>
    <w:p>
      <w:pPr>
        <w:pStyle w:val="Style29"/>
        <w:numPr>
          <w:ilvl w:val="0"/>
          <w:numId w:val="7"/>
        </w:numPr>
        <w:tabs>
          <w:tab w:val="left" w:pos="851" w:leader="none"/>
          <w:tab w:val="left" w:pos="993" w:leader="none"/>
        </w:tabs>
        <w:ind w:left="993" w:hanging="284"/>
        <w:rPr>
          <w:color w:val="000000"/>
        </w:rPr>
      </w:pPr>
      <w:r>
        <w:rPr>
          <w:color w:val="000000"/>
        </w:rPr>
        <w:t>иные нормативные правовые акты Российской Федерации и нормативные документы уполномоченных органов государственной власти.</w:t>
      </w:r>
    </w:p>
    <w:p>
      <w:pPr>
        <w:pStyle w:val="22"/>
        <w:numPr>
          <w:ilvl w:val="1"/>
          <w:numId w:val="1"/>
        </w:numPr>
        <w:rPr/>
      </w:pPr>
      <w:r>
        <w:rPr/>
        <w:t>В целях реализации Положения в Академии разрабатываются соответствующие ЛНА и иные документы, регламентирующие в Академии вопросы обработки ПДн.</w:t>
      </w:r>
    </w:p>
    <w:p>
      <w:pPr>
        <w:pStyle w:val="1"/>
        <w:rPr/>
      </w:pPr>
      <w:bookmarkStart w:id="79" w:name="_Toc150263824"/>
      <w:bookmarkStart w:id="80" w:name="_Toc145919153"/>
      <w:bookmarkStart w:id="81" w:name="_Toc100588939"/>
      <w:r>
        <w:rPr/>
        <w:t>Заключительные положения</w:t>
      </w:r>
      <w:bookmarkEnd w:id="79"/>
      <w:bookmarkEnd w:id="80"/>
      <w:bookmarkEnd w:id="81"/>
    </w:p>
    <w:p>
      <w:pPr>
        <w:pStyle w:val="22"/>
        <w:numPr>
          <w:ilvl w:val="1"/>
          <w:numId w:val="1"/>
        </w:numPr>
        <w:rPr/>
      </w:pPr>
      <w:r>
        <w:rPr>
          <w:rStyle w:val="58"/>
          <w:color w:val="000000"/>
          <w:sz w:val="28"/>
          <w:szCs w:val="28"/>
        </w:rPr>
        <w:t xml:space="preserve">Субъект </w:t>
      </w:r>
      <w:r>
        <w:rPr/>
        <w:t>ПДн</w:t>
      </w:r>
      <w:r>
        <w:rPr>
          <w:rStyle w:val="58"/>
          <w:color w:val="000000"/>
          <w:sz w:val="28"/>
          <w:szCs w:val="28"/>
        </w:rPr>
        <w:t xml:space="preserve"> может получить любые разъяснения по интересующим </w:t>
      </w:r>
      <w:r>
        <w:rPr>
          <w:rStyle w:val="58"/>
          <w:sz w:val="28"/>
          <w:szCs w:val="24"/>
        </w:rPr>
        <w:t xml:space="preserve">вопросам, касающимся обработки его </w:t>
      </w:r>
      <w:r>
        <w:rPr/>
        <w:t>ПДн</w:t>
      </w:r>
      <w:r>
        <w:rPr>
          <w:rStyle w:val="58"/>
          <w:sz w:val="28"/>
          <w:szCs w:val="24"/>
        </w:rPr>
        <w:t>, обратившись в Академию с помощью электронной почты tar-</w:t>
      </w:r>
      <w:hyperlink r:id="rId19">
        <w:r>
          <w:rPr>
            <w:color w:val="auto"/>
            <w:u w:val="none"/>
          </w:rPr>
          <w:t>info@rosatom.ru</w:t>
        </w:r>
      </w:hyperlink>
      <w:r>
        <w:rPr>
          <w:rStyle w:val="58"/>
          <w:sz w:val="28"/>
          <w:szCs w:val="24"/>
        </w:rPr>
        <w:t xml:space="preserve">, либо по адресу: </w:t>
      </w:r>
      <w:r>
        <w:rPr/>
        <w:t>249031, Калужская обл., г. Обнинск, ул. Курчатова, д. 21.Тел.: (484) 396-88-33,</w:t>
        <w:br/>
        <w:t>396-80-11.</w:t>
      </w:r>
    </w:p>
    <w:p>
      <w:pPr>
        <w:sectPr>
          <w:headerReference w:type="default" r:id="rId20"/>
          <w:footerReference w:type="default" r:id="rId21"/>
          <w:type w:val="nextPage"/>
          <w:pgSz w:w="11906" w:h="16838"/>
          <w:pgMar w:left="1418" w:right="851" w:gutter="0" w:header="567" w:top="1559" w:footer="567" w:bottom="709"/>
          <w:pgNumType w:fmt="decimal"/>
          <w:formProt w:val="false"/>
          <w:textDirection w:val="lrTb"/>
          <w:docGrid w:type="default" w:linePitch="381" w:charSpace="0"/>
        </w:sectPr>
        <w:pStyle w:val="22"/>
        <w:numPr>
          <w:ilvl w:val="1"/>
          <w:numId w:val="1"/>
        </w:numPr>
        <w:rPr/>
      </w:pPr>
      <w:bookmarkStart w:id="82" w:name="_Toc55716028"/>
      <w:bookmarkStart w:id="83" w:name="_Toc436705385"/>
      <w:bookmarkStart w:id="84" w:name="_Hlt434745479"/>
      <w:bookmarkStart w:id="85" w:name="_Toc55716057"/>
      <w:bookmarkStart w:id="86" w:name="_Toc55715958"/>
      <w:bookmarkStart w:id="87" w:name="_Toc11480916"/>
      <w:r>
        <w:rPr>
          <w:rStyle w:val="58"/>
          <w:sz w:val="28"/>
          <w:szCs w:val="24"/>
        </w:rPr>
        <w:t>Настоящая Положение, при необходимости, может быть изменено и дополнено в соответ</w:t>
      </w:r>
      <w:r>
        <w:rPr>
          <w:rStyle w:val="58"/>
          <w:color w:val="000000"/>
          <w:sz w:val="28"/>
          <w:szCs w:val="28"/>
        </w:rPr>
        <w:t>ствии с изменениями в законодательстве Российской Федерации в области ПДн в установл</w:t>
      </w:r>
      <w:bookmarkEnd w:id="82"/>
      <w:bookmarkEnd w:id="83"/>
      <w:bookmarkEnd w:id="84"/>
      <w:bookmarkEnd w:id="85"/>
      <w:bookmarkEnd w:id="86"/>
      <w:bookmarkEnd w:id="87"/>
      <w:r>
        <w:rPr>
          <w:rStyle w:val="58"/>
          <w:color w:val="000000"/>
          <w:sz w:val="28"/>
          <w:szCs w:val="28"/>
        </w:rPr>
        <w:t>енном в Академии порядке.</w:t>
      </w:r>
    </w:p>
    <w:p>
      <w:pPr>
        <w:pStyle w:val="24"/>
        <w:rPr/>
      </w:pPr>
      <w:bookmarkStart w:id="88" w:name="_Ref145658552"/>
      <w:bookmarkStart w:id="89" w:name="_Toc100588940"/>
      <w:bookmarkEnd w:id="89"/>
      <w:r>
        <w:rPr/>
        <w:t>Приложение № </w:t>
      </w:r>
      <w:r>
        <w:rPr/>
        <w:fldChar w:fldCharType="begin"/>
      </w:r>
      <w:r>
        <w:rPr/>
        <w:instrText xml:space="preserve"> SEQ Приложение_№ \* ARABIC </w:instrText>
      </w:r>
      <w:r>
        <w:rPr/>
        <w:fldChar w:fldCharType="separate"/>
      </w:r>
      <w:r>
        <w:rPr/>
        <w:t>1</w:t>
      </w:r>
      <w:r>
        <w:rPr/>
        <w:fldChar w:fldCharType="end"/>
      </w:r>
      <w:bookmarkEnd w:id="88"/>
    </w:p>
    <w:p>
      <w:pPr>
        <w:pStyle w:val="Style32"/>
        <w:rPr/>
      </w:pPr>
      <w:bookmarkStart w:id="90" w:name="_Toc150263825"/>
      <w:r>
        <w:rPr/>
        <w:t>Согласие кандидата на замещение вакантной должности</w:t>
        <w:br/>
        <w:t>в АНО ДПО «Техническая академия Росатома» на обработку</w:t>
      </w:r>
      <w:bookmarkStart w:id="91" w:name="_Toc145919155_Копия_1"/>
      <w:r>
        <w:rPr/>
        <w:br/>
        <w:t>персональных данных</w:t>
      </w:r>
      <w:bookmarkEnd w:id="90"/>
      <w:bookmarkEnd w:id="91"/>
    </w:p>
    <w:p>
      <w:pPr>
        <w:pStyle w:val="Normal"/>
        <w:rPr>
          <w:color w:val="000000"/>
        </w:rPr>
      </w:pPr>
      <w:r>
        <w:rPr>
          <w:color w:val="000000"/>
        </w:rPr>
        <w:t>Я,________________________________________________________________</w:t>
      </w:r>
    </w:p>
    <w:p>
      <w:pPr>
        <w:pStyle w:val="Normal"/>
        <w:jc w:val="center"/>
        <w:rPr>
          <w:color w:val="000000"/>
        </w:rPr>
      </w:pPr>
      <w:r>
        <w:rPr>
          <w:color w:val="000000"/>
        </w:rPr>
        <w:t>(фамилия, имя, отчество), дата рождения «___»____________ г., паспорт</w:t>
      </w:r>
    </w:p>
    <w:p>
      <w:pPr>
        <w:pStyle w:val="Normal"/>
        <w:ind w:left="64" w:right="-28" w:hanging="64"/>
        <w:rPr>
          <w:color w:val="000000"/>
        </w:rPr>
      </w:pPr>
      <w:r>
        <w:rPr>
          <w:color w:val="000000"/>
          <w:szCs w:val="28"/>
          <w:u w:val="single"/>
        </w:rPr>
        <w:t>______________</w:t>
      </w:r>
      <w:r>
        <w:rPr>
          <w:color w:val="000000"/>
          <w:szCs w:val="28"/>
        </w:rPr>
        <w:t>№</w:t>
      </w:r>
      <w:r>
        <w:rPr>
          <w:color w:val="000000"/>
          <w:szCs w:val="28"/>
          <w:u w:val="single"/>
        </w:rPr>
        <w:t>____________</w:t>
      </w:r>
      <w:r>
        <w:rPr>
          <w:color w:val="000000"/>
          <w:szCs w:val="28"/>
        </w:rPr>
        <w:t>выдан</w:t>
      </w:r>
      <w:r>
        <w:rPr>
          <w:color w:val="000000"/>
          <w:szCs w:val="28"/>
          <w:u w:val="single"/>
        </w:rPr>
        <w:t>__________________________________,</w:t>
      </w:r>
    </w:p>
    <w:tbl>
      <w:tblPr>
        <w:tblStyle w:val="affb"/>
        <w:tblW w:w="949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986"/>
        <w:gridCol w:w="2837"/>
        <w:gridCol w:w="2122"/>
        <w:gridCol w:w="2552"/>
      </w:tblGrid>
      <w:tr>
        <w:trPr>
          <w:trHeight w:val="139" w:hRule="atLeast"/>
        </w:trPr>
        <w:tc>
          <w:tcPr>
            <w:tcW w:w="1986"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 w:val="24"/>
                <w:szCs w:val="24"/>
                <w:lang w:val="ru-RU" w:eastAsia="en-US" w:bidi="ar-SA"/>
              </w:rPr>
              <w:t>(серия)</w:t>
            </w:r>
          </w:p>
        </w:tc>
        <w:tc>
          <w:tcPr>
            <w:tcW w:w="2837" w:type="dxa"/>
            <w:tcBorders>
              <w:top w:val="nil"/>
              <w:left w:val="nil"/>
              <w:bottom w:val="nil"/>
              <w:right w:val="nil"/>
            </w:tcBorders>
          </w:tcPr>
          <w:p>
            <w:pPr>
              <w:pStyle w:val="Normal"/>
              <w:widowControl/>
              <w:spacing w:before="0" w:after="0"/>
              <w:ind w:firstLine="351"/>
              <w:jc w:val="left"/>
              <w:rPr>
                <w:rFonts w:ascii="Times New Roman" w:hAnsi="Times New Roman" w:cs="Times New Roman"/>
                <w:color w:val="000000"/>
              </w:rPr>
            </w:pPr>
            <w:r>
              <w:rPr>
                <w:rFonts w:eastAsia="Calibri" w:cs="Times New Roman"/>
                <w:color w:val="000000"/>
                <w:kern w:val="0"/>
                <w:sz w:val="24"/>
                <w:szCs w:val="24"/>
                <w:lang w:val="ru-RU" w:eastAsia="en-US" w:bidi="ar-SA"/>
              </w:rPr>
              <w:t>(номер)</w:t>
            </w:r>
          </w:p>
        </w:tc>
        <w:tc>
          <w:tcPr>
            <w:tcW w:w="2122" w:type="dxa"/>
            <w:tcBorders>
              <w:top w:val="nil"/>
              <w:left w:val="nil"/>
              <w:bottom w:val="nil"/>
              <w:right w:val="nil"/>
            </w:tcBorders>
          </w:tcPr>
          <w:p>
            <w:pPr>
              <w:pStyle w:val="Normal"/>
              <w:widowControl/>
              <w:spacing w:before="0" w:after="0"/>
              <w:jc w:val="left"/>
              <w:rPr>
                <w:rFonts w:ascii="Times New Roman" w:hAnsi="Times New Roman" w:cs="Times New Roman"/>
                <w:color w:val="000000"/>
              </w:rPr>
            </w:pPr>
            <w:r>
              <w:rPr>
                <w:rFonts w:eastAsia="Calibri" w:cs="Times New Roman"/>
                <w:color w:val="000000"/>
                <w:kern w:val="0"/>
                <w:sz w:val="24"/>
                <w:szCs w:val="24"/>
                <w:lang w:val="ru-RU" w:eastAsia="en-US" w:bidi="ar-SA"/>
              </w:rPr>
              <w:t>(дата выдачи)</w:t>
            </w:r>
          </w:p>
        </w:tc>
        <w:tc>
          <w:tcPr>
            <w:tcW w:w="2552" w:type="dxa"/>
            <w:tcBorders>
              <w:top w:val="nil"/>
              <w:left w:val="nil"/>
              <w:bottom w:val="nil"/>
              <w:right w:val="nil"/>
            </w:tcBorders>
          </w:tcPr>
          <w:p>
            <w:pPr>
              <w:pStyle w:val="Normal"/>
              <w:widowControl/>
              <w:spacing w:before="0" w:after="0"/>
              <w:jc w:val="left"/>
              <w:rPr>
                <w:rFonts w:ascii="Times New Roman" w:hAnsi="Times New Roman" w:cs="Times New Roman"/>
                <w:color w:val="000000"/>
              </w:rPr>
            </w:pPr>
            <w:r>
              <w:rPr>
                <w:rFonts w:eastAsia="Calibri" w:cs="Times New Roman"/>
                <w:color w:val="000000"/>
                <w:kern w:val="0"/>
                <w:sz w:val="24"/>
                <w:szCs w:val="24"/>
                <w:lang w:val="ru-RU" w:eastAsia="en-US" w:bidi="ar-SA"/>
              </w:rPr>
              <w:t>(кем выдан паспорт)</w:t>
            </w:r>
          </w:p>
        </w:tc>
      </w:tr>
    </w:tbl>
    <w:p>
      <w:pPr>
        <w:pStyle w:val="Normal"/>
        <w:tabs>
          <w:tab w:val="clear" w:pos="720"/>
          <w:tab w:val="center" w:pos="1848" w:leader="none"/>
          <w:tab w:val="center" w:pos="4345" w:leader="none"/>
          <w:tab w:val="center" w:pos="7784" w:leader="none"/>
        </w:tabs>
        <w:ind w:right="-28" w:hanging="0"/>
        <w:rPr>
          <w:color w:val="000000"/>
        </w:rPr>
      </w:pPr>
      <w:r>
        <w:rPr>
          <w:color w:val="000000"/>
          <w:szCs w:val="28"/>
        </w:rPr>
        <w:t>проживающий(ая) по адресу___________________________________________</w:t>
      </w:r>
    </w:p>
    <w:p>
      <w:pPr>
        <w:pStyle w:val="Normal"/>
        <w:tabs>
          <w:tab w:val="clear" w:pos="720"/>
          <w:tab w:val="left" w:pos="3261" w:leader="none"/>
        </w:tabs>
        <w:ind w:left="3828" w:right="-28" w:firstLine="142"/>
        <w:rPr>
          <w:color w:val="000000"/>
        </w:rPr>
      </w:pPr>
      <w:r>
        <w:rPr>
          <w:color w:val="000000"/>
          <w:szCs w:val="28"/>
        </w:rPr>
        <w:t xml:space="preserve"> </w:t>
      </w:r>
      <w:r>
        <w:rPr>
          <w:color w:val="000000"/>
          <w:szCs w:val="28"/>
        </w:rPr>
        <w:t>(адрес места жительства по паспорту)</w:t>
      </w:r>
    </w:p>
    <w:p>
      <w:pPr>
        <w:pStyle w:val="Normal"/>
        <w:ind w:left="14" w:right="-28" w:firstLine="4"/>
        <w:jc w:val="both"/>
        <w:rPr>
          <w:color w:val="000000"/>
          <w:szCs w:val="28"/>
        </w:rPr>
      </w:pPr>
      <w:r>
        <w:rPr>
          <w:color w:val="000000"/>
          <w:szCs w:val="28"/>
        </w:rPr>
        <w:t>в соответствии с Трудовым кодексом Российской Федерации, Федеральным законом от 27 июля 2006 г. № 152-ФЗ «О персональных данных» свободно, своей волей и в своем интересе выражаю АНО ДПО «Техническая академия Росатома», зарегистрированной по адресу: Российская Федерация, Калужская область, г. Обнинск, ул. Курчатова, д. 21 в целях содействия в моем трудоустройстве согласие на обработку, предполагающую сбор (непосредственно от работника, от третьих лиц, путем направления запросов в органы государственной власти, органы местного самоуправления, из иных общедоступных информационных ресурсов, из архивов),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и уничтожение моих персональных данных, включающих фамилию, имя, отчество, год, месяц, дату и место рождения, гражданство, адрес регистрации, адрес места жительства, паспортные данные, сведения о ближайших родственниках и членах семьи, сведения об образовании, о занимаемой должности, данные о предыдущих местах работы, сведения о доходах, идентификационный номер налогоплательщика, номер страхового свидетельства обязательного пенсионного страхования, сведения о воинском учете, данные о допуске к сведениям, составляющим государственную тайну, сведения о наградах, сведения о судимости, фотографию, адрес электронной почты и т.п.</w:t>
      </w:r>
    </w:p>
    <w:p>
      <w:pPr>
        <w:pStyle w:val="Normal"/>
        <w:ind w:left="14" w:right="-28" w:firstLine="662"/>
        <w:jc w:val="both"/>
        <w:rPr>
          <w:color w:val="000000"/>
          <w:szCs w:val="28"/>
        </w:rPr>
      </w:pPr>
      <w:r>
        <w:rPr>
          <w:color w:val="000000"/>
          <w:szCs w:val="28"/>
        </w:rPr>
        <w:t>В случае изменения моих персональных данных обязуюсь информировать об этом АНО ДПО «Техническая академия Росатома» в письменной форме и представить копии подтверждающих документов.</w:t>
      </w:r>
    </w:p>
    <w:p>
      <w:pPr>
        <w:pStyle w:val="Normal"/>
        <w:ind w:left="14" w:right="-28" w:firstLine="662"/>
        <w:jc w:val="both"/>
        <w:rPr>
          <w:color w:val="000000"/>
          <w:szCs w:val="28"/>
        </w:rPr>
      </w:pPr>
      <w:r>
        <w:rPr>
          <w:color w:val="000000"/>
          <w:szCs w:val="28"/>
        </w:rPr>
        <w:t>Согласие вступает в силу со дня его подписания и действует до момента заключения трудового договора или получения извещения (уведомления) об отказе в приеме на работу.</w:t>
      </w:r>
    </w:p>
    <w:p>
      <w:pPr>
        <w:pStyle w:val="Normal"/>
        <w:ind w:left="14" w:right="-28" w:firstLine="698"/>
        <w:jc w:val="both"/>
        <w:rPr>
          <w:color w:val="000000"/>
          <w:szCs w:val="28"/>
        </w:rPr>
      </w:pPr>
      <w:bookmarkStart w:id="92" w:name="_Toc100588940_Копия_1"/>
      <w:bookmarkEnd w:id="92"/>
      <w:r>
        <w:rPr>
          <w:color w:val="000000"/>
          <w:szCs w:val="28"/>
        </w:rPr>
        <w:t>Согласие может быть отозвано в любое время на основании моего письменного заявления. В случае отзыва настоящего Согласия АНО ДПО «Техническая академия Росатома» вправе обрабатывать мои персональные данные в случаях и в порядке, предусмотренных Федеральным законом «О персональных данных».</w:t>
      </w:r>
    </w:p>
    <w:p>
      <w:pPr>
        <w:pStyle w:val="Normal"/>
        <w:ind w:left="86" w:right="-1" w:firstLine="634"/>
        <w:rPr>
          <w:color w:val="000000"/>
          <w:szCs w:val="28"/>
        </w:rPr>
      </w:pPr>
      <w:r>
        <w:rPr>
          <w:color w:val="000000"/>
          <w:szCs w:val="28"/>
        </w:rPr>
      </w:r>
    </w:p>
    <w:p>
      <w:pPr>
        <w:pStyle w:val="Normal"/>
        <w:ind w:left="86" w:right="-1" w:firstLine="634"/>
        <w:rPr>
          <w:color w:val="000000"/>
          <w:szCs w:val="28"/>
        </w:rPr>
      </w:pPr>
      <w:r>
        <w:rPr>
          <w:color w:val="000000"/>
          <w:szCs w:val="28"/>
        </w:rPr>
      </w:r>
    </w:p>
    <w:tbl>
      <w:tblPr>
        <w:tblStyle w:val="affb"/>
        <w:tblW w:w="9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3059"/>
        <w:gridCol w:w="1803"/>
        <w:gridCol w:w="4776"/>
      </w:tblGrid>
      <w:tr>
        <w:trPr>
          <w:trHeight w:val="139" w:hRule="atLeast"/>
        </w:trPr>
        <w:tc>
          <w:tcPr>
            <w:tcW w:w="3059"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Cs w:val="28"/>
                <w:lang w:val="ru-RU" w:eastAsia="en-US" w:bidi="ar-SA"/>
              </w:rPr>
              <w:t>_____________20____г.</w:t>
            </w:r>
          </w:p>
        </w:tc>
        <w:tc>
          <w:tcPr>
            <w:tcW w:w="1803" w:type="dxa"/>
            <w:tcBorders>
              <w:top w:val="nil"/>
              <w:left w:val="nil"/>
              <w:bottom w:val="nil"/>
              <w:right w:val="nil"/>
            </w:tcBorders>
          </w:tcPr>
          <w:p>
            <w:pPr>
              <w:pStyle w:val="Normal"/>
              <w:widowControl/>
              <w:spacing w:before="0" w:after="0"/>
              <w:jc w:val="left"/>
              <w:rPr>
                <w:rFonts w:ascii="Times New Roman" w:hAnsi="Times New Roman" w:cs="Times New Roman"/>
                <w:color w:val="000000"/>
                <w:sz w:val="24"/>
                <w:szCs w:val="24"/>
              </w:rPr>
            </w:pPr>
            <w:r>
              <w:rPr>
                <w:rFonts w:eastAsia="Calibri" w:cs="Times New Roman"/>
                <w:color w:val="000000"/>
                <w:kern w:val="0"/>
                <w:sz w:val="24"/>
                <w:szCs w:val="22"/>
                <w:lang w:val="ru-RU" w:eastAsia="en-US" w:bidi="ar-SA"/>
              </w:rPr>
            </w:r>
          </w:p>
        </w:tc>
        <w:tc>
          <w:tcPr>
            <w:tcW w:w="4776" w:type="dxa"/>
            <w:tcBorders>
              <w:top w:val="nil"/>
              <w:left w:val="nil"/>
              <w:bottom w:val="nil"/>
              <w:right w:val="nil"/>
            </w:tcBorders>
          </w:tcPr>
          <w:p>
            <w:pPr>
              <w:pStyle w:val="Normal"/>
              <w:widowControl/>
              <w:spacing w:before="0" w:after="0"/>
              <w:jc w:val="left"/>
              <w:rPr>
                <w:rFonts w:ascii="Times New Roman" w:hAnsi="Times New Roman" w:cs="Times New Roman"/>
                <w:color w:val="000000"/>
              </w:rPr>
            </w:pPr>
            <w:r>
              <w:rPr>
                <w:rFonts w:eastAsia="Calibri" w:cs="Times New Roman"/>
                <w:color w:val="000000"/>
                <w:kern w:val="0"/>
                <w:sz w:val="24"/>
                <w:szCs w:val="24"/>
                <w:lang w:val="ru-RU" w:eastAsia="en-US" w:bidi="ar-SA"/>
              </w:rPr>
              <w:t>______________________________________</w:t>
            </w:r>
          </w:p>
        </w:tc>
      </w:tr>
      <w:tr>
        <w:trPr>
          <w:trHeight w:val="139" w:hRule="atLeast"/>
        </w:trPr>
        <w:tc>
          <w:tcPr>
            <w:tcW w:w="3059"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 w:val="24"/>
                <w:szCs w:val="24"/>
                <w:lang w:val="ru-RU" w:eastAsia="en-US" w:bidi="ar-SA"/>
              </w:rPr>
              <w:t>(дата)</w:t>
            </w:r>
          </w:p>
        </w:tc>
        <w:tc>
          <w:tcPr>
            <w:tcW w:w="1803" w:type="dxa"/>
            <w:tcBorders>
              <w:top w:val="nil"/>
              <w:left w:val="nil"/>
              <w:bottom w:val="nil"/>
              <w:right w:val="nil"/>
            </w:tcBorders>
          </w:tcPr>
          <w:p>
            <w:pPr>
              <w:pStyle w:val="Normal"/>
              <w:widowControl/>
              <w:spacing w:before="0" w:after="0"/>
              <w:jc w:val="left"/>
              <w:rPr>
                <w:rFonts w:ascii="Times New Roman" w:hAnsi="Times New Roman" w:cs="Times New Roman"/>
                <w:color w:val="000000"/>
                <w:sz w:val="24"/>
                <w:szCs w:val="24"/>
              </w:rPr>
            </w:pPr>
            <w:r>
              <w:rPr>
                <w:rFonts w:eastAsia="Calibri" w:cs="Times New Roman"/>
                <w:color w:val="000000"/>
                <w:kern w:val="0"/>
                <w:sz w:val="24"/>
                <w:szCs w:val="22"/>
                <w:lang w:val="ru-RU" w:eastAsia="en-US" w:bidi="ar-SA"/>
              </w:rPr>
            </w:r>
          </w:p>
        </w:tc>
        <w:tc>
          <w:tcPr>
            <w:tcW w:w="4776"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 w:val="24"/>
                <w:szCs w:val="24"/>
                <w:lang w:val="ru-RU" w:eastAsia="en-US" w:bidi="ar-SA"/>
              </w:rPr>
              <w:t>(подпись) (расшифровка подписи)</w:t>
            </w:r>
          </w:p>
        </w:tc>
      </w:tr>
    </w:tbl>
    <w:p>
      <w:pPr>
        <w:sectPr>
          <w:headerReference w:type="default" r:id="rId22"/>
          <w:footerReference w:type="default" r:id="rId23"/>
          <w:type w:val="nextPage"/>
          <w:pgSz w:w="11906" w:h="16838"/>
          <w:pgMar w:left="1418" w:right="851" w:gutter="0" w:header="567" w:top="1559" w:footer="567" w:bottom="709"/>
          <w:pgNumType w:fmt="decimal"/>
          <w:formProt w:val="false"/>
          <w:textDirection w:val="lrTb"/>
          <w:docGrid w:type="default" w:linePitch="381" w:charSpace="0"/>
        </w:sectPr>
      </w:pPr>
    </w:p>
    <w:p>
      <w:pPr>
        <w:pStyle w:val="24"/>
        <w:spacing w:before="0" w:after="120"/>
        <w:rPr/>
      </w:pPr>
      <w:bookmarkStart w:id="93" w:name="_Ref150243778"/>
      <w:bookmarkStart w:id="94" w:name="_Toc100588941"/>
      <w:bookmarkEnd w:id="94"/>
      <w:r>
        <w:rPr/>
        <w:t>Приложение № </w:t>
      </w:r>
      <w:r>
        <w:rPr/>
        <w:fldChar w:fldCharType="begin"/>
      </w:r>
      <w:r>
        <w:rPr/>
        <w:instrText xml:space="preserve"> SEQ Приложение_№ \* ARABIC </w:instrText>
      </w:r>
      <w:r>
        <w:rPr/>
        <w:fldChar w:fldCharType="separate"/>
      </w:r>
      <w:r>
        <w:rPr/>
        <w:t>2</w:t>
      </w:r>
      <w:r>
        <w:rPr/>
        <w:fldChar w:fldCharType="end"/>
      </w:r>
      <w:bookmarkEnd w:id="93"/>
    </w:p>
    <w:p>
      <w:pPr>
        <w:pStyle w:val="Style32"/>
        <w:rPr/>
      </w:pPr>
      <w:bookmarkStart w:id="95" w:name="_Toc150263826"/>
      <w:bookmarkStart w:id="96" w:name="_Toc100588941_Копия_1_Копия_1"/>
      <w:bookmarkStart w:id="97" w:name="_Toc100588942"/>
      <w:bookmarkEnd w:id="96"/>
      <w:bookmarkEnd w:id="97"/>
      <w:r>
        <w:rPr/>
        <w:t>СОГЛАСИЕ</w:t>
        <w:br/>
        <w:t>на обработку персональных данных обучающегося (слушателя)</w:t>
        <w:br/>
        <w:t>АНО ДПО «Техническая академия Росатома»</w:t>
      </w:r>
      <w:bookmarkEnd w:id="95"/>
    </w:p>
    <w:p>
      <w:pPr>
        <w:pStyle w:val="Normal"/>
        <w:spacing w:before="240" w:after="0"/>
        <w:ind w:right="-1" w:hanging="0"/>
        <w:rPr>
          <w:color w:val="000000"/>
        </w:rPr>
      </w:pPr>
      <w:r>
        <w:rPr>
          <w:b/>
          <w:color w:val="000000"/>
        </w:rPr>
        <w:t>Я</w:t>
      </w:r>
      <w:r>
        <w:rPr>
          <w:color w:val="000000"/>
        </w:rPr>
        <w:t>,_________________________________________________(ФИО полностью</w:t>
      </w:r>
      <w:r>
        <w:rPr>
          <w:color w:val="000000"/>
          <w:szCs w:val="28"/>
        </w:rPr>
        <w:t>) дата рождения, «__»______________г., паспорт серия______№________ «___»__________г.________________________________,(кем выдан и когда) зарегистрированный(я) по адресу:______________________________________, адрес фактического проживания</w:t>
      </w:r>
    </w:p>
    <w:p>
      <w:pPr>
        <w:pStyle w:val="Normal"/>
        <w:ind w:right="-1" w:hanging="0"/>
        <w:rPr>
          <w:color w:val="000000"/>
        </w:rPr>
      </w:pPr>
      <w:r>
        <w:rPr>
          <w:b/>
          <w:color w:val="000000"/>
          <w:szCs w:val="28"/>
        </w:rPr>
        <w:t>В лице представителя субъекта персональных данных</w:t>
      </w:r>
      <w:r>
        <w:rPr>
          <w:color w:val="000000"/>
          <w:szCs w:val="28"/>
        </w:rPr>
        <w:t xml:space="preserve"> </w:t>
      </w:r>
      <w:r>
        <w:rPr>
          <w:i/>
          <w:color w:val="000000"/>
          <w:szCs w:val="28"/>
        </w:rPr>
        <w:t>(заполняется в случае получения согласия от представителя субъекта персональных данных</w:t>
      </w:r>
      <w:r>
        <w:rPr>
          <w:color w:val="000000"/>
          <w:szCs w:val="28"/>
        </w:rPr>
        <w:t>) ____________________________________________________(ФИО полностью), паспорт серия ____№________ «___»___________ г. (кем и когда выдан), проживающий</w:t>
      </w:r>
      <w:r>
        <w:rPr>
          <w:color w:val="000000"/>
        </w:rPr>
        <w:t> по адресу</w:t>
      </w:r>
      <w:r>
        <w:rPr>
          <w:color w:val="000000"/>
          <w:szCs w:val="28"/>
        </w:rPr>
        <w:t>_______________________________________________,действующий от имени субъекта персональных данных на основании___________________________________________________________</w:t>
      </w:r>
    </w:p>
    <w:p>
      <w:pPr>
        <w:pStyle w:val="Normal"/>
        <w:ind w:left="1134" w:right="-1" w:hanging="0"/>
        <w:rPr>
          <w:color w:val="000000"/>
        </w:rPr>
      </w:pPr>
      <w:r>
        <w:rPr>
          <w:color w:val="000000"/>
          <w:szCs w:val="28"/>
        </w:rPr>
        <w:t>(реквизиты доверенности или иного Документа, подтверждающего полномочия представителя)</w:t>
      </w:r>
    </w:p>
    <w:p>
      <w:pPr>
        <w:pStyle w:val="Normal"/>
        <w:ind w:left="23" w:right="-1" w:hanging="0"/>
        <w:rPr>
          <w:color w:val="000000"/>
        </w:rPr>
      </w:pPr>
      <w:r>
        <w:rPr>
          <w:color w:val="000000"/>
          <w:szCs w:val="28"/>
        </w:rPr>
        <w:t>В соответствии с ст. 9 закона Российской Федерации от 27.07.2006 № 152-ФЗ «О персональных данных», в целях:</w:t>
      </w:r>
    </w:p>
    <w:p>
      <w:pPr>
        <w:pStyle w:val="Style29"/>
        <w:numPr>
          <w:ilvl w:val="0"/>
          <w:numId w:val="7"/>
        </w:numPr>
        <w:ind w:left="284" w:hanging="284"/>
        <w:rPr>
          <w:color w:val="000000"/>
        </w:rPr>
      </w:pPr>
      <w:r>
        <w:rPr>
          <w:color w:val="000000"/>
        </w:rPr>
        <w:t>обеспечения соблюдения требований законодательства Российской Федерации, требований п. 3 ст. 76 Федерального закона «Об образовании в Российской Федерации» от 29.12.2012 № 273-ФЗ, осуществления обеспечения организации учебного процесса,</w:t>
      </w:r>
      <w:r>
        <w:rPr>
          <w:color w:val="000000"/>
          <w:shd w:fill="FFFFFF" w:val="clear"/>
        </w:rPr>
        <w:t xml:space="preserve"> в том числе предоставления сведений о документах об образовании и (или) о квалификации, документах об обучении в Федеральную информационную систему «Федеральный реестр сведений о документах об образовании и (или) о квалификации, документах об обучении» (ФИС ФРДО);</w:t>
      </w:r>
    </w:p>
    <w:p>
      <w:pPr>
        <w:pStyle w:val="Style29"/>
        <w:numPr>
          <w:ilvl w:val="0"/>
          <w:numId w:val="7"/>
        </w:numPr>
        <w:ind w:left="284" w:hanging="284"/>
        <w:rPr>
          <w:color w:val="000000"/>
        </w:rPr>
      </w:pPr>
      <w:r>
        <w:rPr>
          <w:color w:val="000000"/>
        </w:rPr>
        <w:t>ведения бухгалтерского учета, передачи данных в банки, для оформления стипендиальной карты, а также передачи сведений в Инспекцию федеральной налоговой службы (ИФНС), Фонд социального страхования Российской Федерации (ФСС) и Пенсионный фонд России (ПФР);</w:t>
      </w:r>
    </w:p>
    <w:p>
      <w:pPr>
        <w:pStyle w:val="Style29"/>
        <w:numPr>
          <w:ilvl w:val="0"/>
          <w:numId w:val="7"/>
        </w:numPr>
        <w:ind w:left="284" w:hanging="284"/>
        <w:rPr>
          <w:color w:val="000000"/>
        </w:rPr>
      </w:pPr>
      <w:r>
        <w:rPr>
          <w:color w:val="000000"/>
        </w:rPr>
        <w:t xml:space="preserve">обеспечения функционирования пропускного режима (доступ к местам проведения обучения, местам проживания и т.д.), организации и проведения обучения (учет посещаемости, ведение личных дел, выпуск сертификатов о завершении обучения и т.д.), оформления отчетной документации (ежемесячные, ежеквартальные отчеты), организации трансферов, оформления регистрации по месту временного пребывания, </w:t>
      </w:r>
    </w:p>
    <w:p>
      <w:pPr>
        <w:pStyle w:val="Normal"/>
        <w:ind w:left="23" w:right="-1" w:hanging="0"/>
        <w:jc w:val="both"/>
        <w:rPr>
          <w:color w:val="000000"/>
        </w:rPr>
      </w:pPr>
      <w:r>
        <w:rPr>
          <w:b/>
          <w:color w:val="000000"/>
          <w:szCs w:val="28"/>
        </w:rPr>
        <w:t>даю свое согласие</w:t>
      </w:r>
      <w:r>
        <w:rPr>
          <w:color w:val="000000"/>
          <w:szCs w:val="28"/>
        </w:rPr>
        <w:t xml:space="preserve"> Оператору персональных данных - Автономной некоммерческой организации дополнительного профессионального образования «Техническая академия Росатома» (ОГРН 1174027012830, ИНН 4025450383), зарегистрированной по адресу: Калужская область, г. Обнинск, ул. Курчатова, д. 21 </w:t>
      </w:r>
      <w:r>
        <w:rPr>
          <w:b/>
          <w:color w:val="000000"/>
          <w:szCs w:val="28"/>
        </w:rPr>
        <w:t>на автоматизированную, а также без использования средств автоматизации, обработку моих персональных данных,</w:t>
      </w:r>
      <w:r>
        <w:rPr>
          <w:color w:val="000000"/>
          <w:szCs w:val="28"/>
        </w:rPr>
        <w:t xml:space="preserve"> в том числе с передачей полученной информации по информационно-телекоммуникационным сетям или без таковой, смешанную обработку персональных данных.</w:t>
      </w:r>
    </w:p>
    <w:p>
      <w:pPr>
        <w:pStyle w:val="Normal"/>
        <w:ind w:left="23" w:hanging="0"/>
        <w:jc w:val="both"/>
        <w:rPr>
          <w:color w:val="000000"/>
        </w:rPr>
      </w:pPr>
      <w:r>
        <w:rPr>
          <w:b/>
          <w:color w:val="000000"/>
          <w:szCs w:val="28"/>
        </w:rPr>
        <w:t>Согласие относится к обработке следующих персональных данных</w:t>
      </w:r>
      <w:r>
        <w:rPr>
          <w:rStyle w:val="Style15"/>
          <w:b/>
          <w:color w:val="000000"/>
          <w:szCs w:val="28"/>
        </w:rPr>
        <w:footnoteReference w:id="2"/>
      </w:r>
      <w:r>
        <w:rPr>
          <w:b/>
          <w:color w:val="000000"/>
          <w:szCs w:val="28"/>
        </w:rPr>
        <w:t xml:space="preserve">: </w:t>
      </w:r>
    </w:p>
    <w:p>
      <w:pPr>
        <w:pStyle w:val="Normal"/>
        <w:ind w:left="23" w:right="-1" w:hanging="0"/>
        <w:jc w:val="both"/>
        <w:rPr>
          <w:color w:val="000000"/>
        </w:rPr>
      </w:pPr>
      <w:r>
        <w:rPr>
          <w:color w:val="000000"/>
          <w:szCs w:val="28"/>
        </w:rPr>
        <w:t xml:space="preserve">фамилия, имя, отчество; </w:t>
      </w:r>
    </w:p>
    <w:p>
      <w:pPr>
        <w:pStyle w:val="Normal"/>
        <w:ind w:left="23" w:right="-1" w:hanging="0"/>
        <w:jc w:val="both"/>
        <w:rPr>
          <w:color w:val="000000"/>
        </w:rPr>
      </w:pPr>
      <w:r>
        <w:rPr>
          <w:color w:val="000000"/>
          <w:szCs w:val="28"/>
        </w:rPr>
        <w:t xml:space="preserve">пол; </w:t>
      </w:r>
    </w:p>
    <w:p>
      <w:pPr>
        <w:pStyle w:val="Normal"/>
        <w:ind w:left="23" w:right="-1" w:hanging="0"/>
        <w:jc w:val="both"/>
        <w:rPr>
          <w:color w:val="000000"/>
        </w:rPr>
      </w:pPr>
      <w:r>
        <w:rPr>
          <w:color w:val="000000"/>
          <w:szCs w:val="28"/>
        </w:rPr>
        <w:t xml:space="preserve">дата и место рождения; </w:t>
      </w:r>
    </w:p>
    <w:p>
      <w:pPr>
        <w:pStyle w:val="Normal"/>
        <w:ind w:left="23" w:right="-1" w:hanging="0"/>
        <w:jc w:val="both"/>
        <w:rPr>
          <w:color w:val="000000"/>
        </w:rPr>
      </w:pPr>
      <w:r>
        <w:rPr>
          <w:color w:val="000000"/>
          <w:szCs w:val="28"/>
        </w:rPr>
        <w:t>паспортные данные (серия, номер, когда и кем выдан);</w:t>
      </w:r>
    </w:p>
    <w:p>
      <w:pPr>
        <w:pStyle w:val="Normal"/>
        <w:ind w:left="23" w:right="-1" w:hanging="0"/>
        <w:jc w:val="both"/>
        <w:rPr>
          <w:color w:val="000000"/>
        </w:rPr>
      </w:pPr>
      <w:r>
        <w:rPr>
          <w:color w:val="000000"/>
          <w:szCs w:val="28"/>
        </w:rPr>
        <w:t xml:space="preserve">гражданство; </w:t>
      </w:r>
    </w:p>
    <w:p>
      <w:pPr>
        <w:pStyle w:val="Normal"/>
        <w:ind w:left="23" w:right="-1" w:hanging="0"/>
        <w:jc w:val="both"/>
        <w:rPr>
          <w:color w:val="000000"/>
        </w:rPr>
      </w:pPr>
      <w:r>
        <w:rPr>
          <w:color w:val="000000"/>
          <w:szCs w:val="28"/>
        </w:rPr>
        <w:t xml:space="preserve">адрес регистрации; </w:t>
      </w:r>
    </w:p>
    <w:p>
      <w:pPr>
        <w:pStyle w:val="Normal"/>
        <w:ind w:left="23" w:right="-1" w:hanging="0"/>
        <w:jc w:val="both"/>
        <w:rPr>
          <w:color w:val="000000"/>
        </w:rPr>
      </w:pPr>
      <w:r>
        <w:rPr>
          <w:color w:val="000000"/>
          <w:szCs w:val="28"/>
        </w:rPr>
        <w:t xml:space="preserve">адрес фактический; </w:t>
      </w:r>
    </w:p>
    <w:p>
      <w:pPr>
        <w:pStyle w:val="Normal"/>
        <w:ind w:left="23" w:right="-1" w:hanging="0"/>
        <w:jc w:val="both"/>
        <w:rPr>
          <w:color w:val="000000"/>
        </w:rPr>
      </w:pPr>
      <w:r>
        <w:rPr>
          <w:color w:val="000000"/>
          <w:szCs w:val="28"/>
        </w:rPr>
        <w:t xml:space="preserve">данные ИНН, СНИЛС; </w:t>
      </w:r>
    </w:p>
    <w:p>
      <w:pPr>
        <w:pStyle w:val="Normal"/>
        <w:ind w:left="23" w:right="-1" w:hanging="0"/>
        <w:jc w:val="both"/>
        <w:rPr>
          <w:color w:val="000000"/>
        </w:rPr>
      </w:pPr>
      <w:r>
        <w:rPr>
          <w:color w:val="000000"/>
          <w:szCs w:val="28"/>
        </w:rPr>
        <w:t xml:space="preserve">сведения о воинском учете, сведения о социальных гарантиях и льготах; </w:t>
      </w:r>
    </w:p>
    <w:p>
      <w:pPr>
        <w:pStyle w:val="Normal"/>
        <w:ind w:left="23" w:right="-1" w:hanging="0"/>
        <w:jc w:val="both"/>
        <w:rPr>
          <w:color w:val="000000"/>
        </w:rPr>
      </w:pPr>
      <w:r>
        <w:rPr>
          <w:color w:val="000000"/>
          <w:szCs w:val="28"/>
        </w:rPr>
        <w:t xml:space="preserve">контактная информация (телефон, эл, почта и пр.); </w:t>
      </w:r>
    </w:p>
    <w:p>
      <w:pPr>
        <w:pStyle w:val="Normal"/>
        <w:ind w:left="23" w:right="-1" w:hanging="0"/>
        <w:jc w:val="both"/>
        <w:rPr>
          <w:color w:val="000000"/>
        </w:rPr>
      </w:pPr>
      <w:r>
        <w:rPr>
          <w:color w:val="000000"/>
          <w:szCs w:val="28"/>
        </w:rPr>
        <w:t>фотографии; данные заключения о профосмотре;</w:t>
      </w:r>
    </w:p>
    <w:p>
      <w:pPr>
        <w:pStyle w:val="Normal"/>
        <w:ind w:left="23" w:right="-1" w:hanging="0"/>
        <w:jc w:val="both"/>
        <w:rPr>
          <w:color w:val="000000"/>
        </w:rPr>
      </w:pPr>
      <w:r>
        <w:rPr>
          <w:color w:val="000000"/>
          <w:szCs w:val="28"/>
        </w:rPr>
        <w:t xml:space="preserve">информация о здоровье/инвалидности (группа инвалидности, группа здоровья/функциональная группа, спецмедгруппа для физкультуры); </w:t>
      </w:r>
    </w:p>
    <w:p>
      <w:pPr>
        <w:pStyle w:val="Normal"/>
        <w:ind w:left="23" w:right="-1" w:hanging="0"/>
        <w:jc w:val="both"/>
        <w:rPr>
          <w:color w:val="000000"/>
        </w:rPr>
      </w:pPr>
      <w:r>
        <w:rPr>
          <w:color w:val="000000"/>
          <w:szCs w:val="28"/>
        </w:rPr>
        <w:t>сведения об образовании;</w:t>
      </w:r>
    </w:p>
    <w:p>
      <w:pPr>
        <w:pStyle w:val="Normal"/>
        <w:ind w:left="23" w:right="-1" w:hanging="0"/>
        <w:jc w:val="both"/>
        <w:rPr>
          <w:color w:val="000000"/>
        </w:rPr>
      </w:pPr>
      <w:r>
        <w:rPr>
          <w:color w:val="000000"/>
          <w:szCs w:val="28"/>
        </w:rPr>
        <w:t xml:space="preserve">сведения об обучении; </w:t>
      </w:r>
    </w:p>
    <w:p>
      <w:pPr>
        <w:pStyle w:val="Normal"/>
        <w:ind w:left="23" w:right="-1" w:hanging="0"/>
        <w:jc w:val="both"/>
        <w:rPr>
          <w:color w:val="000000"/>
        </w:rPr>
      </w:pPr>
      <w:r>
        <w:rPr>
          <w:color w:val="000000"/>
          <w:szCs w:val="28"/>
        </w:rPr>
        <w:t xml:space="preserve">сведения о начислении стипендиальных и иных выплат; </w:t>
      </w:r>
    </w:p>
    <w:p>
      <w:pPr>
        <w:pStyle w:val="Normal"/>
        <w:ind w:left="23" w:right="-1" w:hanging="0"/>
        <w:jc w:val="both"/>
        <w:rPr>
          <w:color w:val="000000"/>
        </w:rPr>
      </w:pPr>
      <w:r>
        <w:rPr>
          <w:color w:val="000000"/>
          <w:szCs w:val="28"/>
        </w:rPr>
        <w:t xml:space="preserve">сведения о законных представителях (ФИО, дата и место рождения, адрес регистрации и телефон). </w:t>
      </w:r>
    </w:p>
    <w:p>
      <w:pPr>
        <w:pStyle w:val="Normal"/>
        <w:ind w:left="23" w:right="-1" w:hanging="0"/>
        <w:jc w:val="both"/>
        <w:rPr>
          <w:color w:val="000000"/>
        </w:rPr>
      </w:pPr>
      <w:r>
        <w:rPr>
          <w:color w:val="000000"/>
          <w:szCs w:val="28"/>
        </w:rPr>
        <w:t>прочие сведения, на основании которых может быть идентифицирован обучающийся.</w:t>
      </w:r>
    </w:p>
    <w:p>
      <w:pPr>
        <w:pStyle w:val="Normal"/>
        <w:ind w:left="23" w:right="-1" w:hanging="0"/>
        <w:jc w:val="both"/>
        <w:rPr>
          <w:color w:val="000000"/>
        </w:rPr>
      </w:pPr>
      <w:r>
        <w:rPr>
          <w:b/>
          <w:color w:val="000000"/>
          <w:szCs w:val="28"/>
        </w:rPr>
        <w:t>Перечень действий с персональными данными, на совершение которых дается согласие:</w:t>
      </w:r>
      <w:r>
        <w:rPr>
          <w:color w:val="000000"/>
          <w:szCs w:val="28"/>
        </w:rPr>
        <w:t xml:space="preserve"> сбор, запись, систематизация, накопление, хранение, уточнение (обновление, изменение), передача в указанных выше целях, извлечение, использование, обезличивание, блокирование, удаление, уничтожение персональных данных, как с использованием средств автоматизации, так и без использования средств автоматизации.</w:t>
      </w:r>
    </w:p>
    <w:p>
      <w:pPr>
        <w:pStyle w:val="Normal"/>
        <w:ind w:firstLine="540"/>
        <w:jc w:val="both"/>
        <w:rPr>
          <w:color w:val="000000"/>
        </w:rPr>
      </w:pPr>
      <w:r>
        <w:rPr>
          <w:color w:val="000000"/>
          <w:szCs w:val="28"/>
        </w:rPr>
        <w:t>Персональные данные Субъекта, перечисленные выше, вносятся на бумажные и электронные носители информации, которые хранятся в АНО ДПО «Техническая академия Росатома».</w:t>
      </w:r>
    </w:p>
    <w:p>
      <w:pPr>
        <w:pStyle w:val="Normal"/>
        <w:tabs>
          <w:tab w:val="clear" w:pos="720"/>
          <w:tab w:val="center" w:pos="1298" w:leader="none"/>
          <w:tab w:val="center" w:pos="4370" w:leader="none"/>
          <w:tab w:val="center" w:pos="7561" w:leader="none"/>
        </w:tabs>
        <w:ind w:right="-28" w:firstLine="567"/>
        <w:rPr>
          <w:color w:val="000000"/>
        </w:rPr>
      </w:pPr>
      <w:r>
        <w:rPr>
          <w:szCs w:val="28"/>
        </w:rPr>
        <w:t xml:space="preserve">Настоящее согласие действует со дня его подписания и </w:t>
      </w:r>
      <w:r>
        <w:rPr>
          <w:szCs w:val="28"/>
          <w:shd w:fill="FFFFFF" w:val="clear"/>
        </w:rPr>
        <w:t xml:space="preserve">до достижения цели обработки </w:t>
      </w:r>
      <w:r>
        <w:rPr>
          <w:bCs/>
          <w:szCs w:val="28"/>
          <w:shd w:fill="FFFFFF" w:val="clear"/>
        </w:rPr>
        <w:t>персональных данных</w:t>
      </w:r>
      <w:r>
        <w:rPr>
          <w:szCs w:val="28"/>
          <w:shd w:fill="FFFFFF" w:val="clear"/>
        </w:rPr>
        <w:t xml:space="preserve">, а после чего не позднее 30-ти дней персональные </w:t>
      </w:r>
      <w:r>
        <w:rPr>
          <w:bCs/>
          <w:szCs w:val="28"/>
          <w:shd w:fill="FFFFFF" w:val="clear"/>
        </w:rPr>
        <w:t>данные</w:t>
      </w:r>
      <w:r>
        <w:rPr>
          <w:szCs w:val="28"/>
          <w:shd w:fill="FFFFFF" w:val="clear"/>
        </w:rPr>
        <w:t xml:space="preserve"> уничтожаются Оператором в связи с достижением цели обработки таких данных.</w:t>
      </w:r>
      <w:r>
        <w:br w:type="page"/>
      </w:r>
    </w:p>
    <w:p>
      <w:pPr>
        <w:pStyle w:val="Normal"/>
        <w:tabs>
          <w:tab w:val="clear" w:pos="720"/>
          <w:tab w:val="center" w:pos="1298" w:leader="none"/>
          <w:tab w:val="center" w:pos="4370" w:leader="none"/>
          <w:tab w:val="center" w:pos="7561" w:leader="none"/>
        </w:tabs>
        <w:ind w:right="-28" w:firstLine="567"/>
        <w:rPr>
          <w:color w:val="000000"/>
        </w:rPr>
      </w:pPr>
      <w:r>
        <w:rPr>
          <w:color w:val="000000"/>
        </w:rPr>
      </w:r>
    </w:p>
    <w:tbl>
      <w:tblPr>
        <w:tblStyle w:val="affb"/>
        <w:tblW w:w="9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3059"/>
        <w:gridCol w:w="1803"/>
        <w:gridCol w:w="4776"/>
      </w:tblGrid>
      <w:tr>
        <w:trPr>
          <w:trHeight w:val="139" w:hRule="atLeast"/>
        </w:trPr>
        <w:tc>
          <w:tcPr>
            <w:tcW w:w="3059"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Cs w:val="28"/>
                <w:lang w:val="ru-RU" w:eastAsia="en-US" w:bidi="ar-SA"/>
              </w:rPr>
              <w:t>_____________20____г</w:t>
            </w:r>
          </w:p>
        </w:tc>
        <w:tc>
          <w:tcPr>
            <w:tcW w:w="1803" w:type="dxa"/>
            <w:tcBorders>
              <w:top w:val="nil"/>
              <w:left w:val="nil"/>
              <w:bottom w:val="nil"/>
              <w:right w:val="nil"/>
            </w:tcBorders>
          </w:tcPr>
          <w:p>
            <w:pPr>
              <w:pStyle w:val="Normal"/>
              <w:widowControl/>
              <w:spacing w:before="0" w:after="0"/>
              <w:jc w:val="left"/>
              <w:rPr>
                <w:rFonts w:ascii="Times New Roman" w:hAnsi="Times New Roman" w:cs="Times New Roman"/>
                <w:color w:val="000000"/>
                <w:sz w:val="24"/>
                <w:szCs w:val="24"/>
              </w:rPr>
            </w:pPr>
            <w:r>
              <w:rPr>
                <w:rFonts w:eastAsia="Calibri" w:cs="Times New Roman"/>
                <w:color w:val="000000"/>
                <w:kern w:val="0"/>
                <w:sz w:val="24"/>
                <w:szCs w:val="22"/>
                <w:lang w:val="ru-RU" w:eastAsia="en-US" w:bidi="ar-SA"/>
              </w:rPr>
            </w:r>
          </w:p>
        </w:tc>
        <w:tc>
          <w:tcPr>
            <w:tcW w:w="4776" w:type="dxa"/>
            <w:tcBorders>
              <w:top w:val="nil"/>
              <w:left w:val="nil"/>
              <w:bottom w:val="nil"/>
              <w:right w:val="nil"/>
            </w:tcBorders>
          </w:tcPr>
          <w:p>
            <w:pPr>
              <w:pStyle w:val="Normal"/>
              <w:widowControl/>
              <w:spacing w:before="0" w:after="0"/>
              <w:jc w:val="left"/>
              <w:rPr>
                <w:rFonts w:ascii="Times New Roman" w:hAnsi="Times New Roman" w:cs="Times New Roman"/>
                <w:color w:val="000000"/>
              </w:rPr>
            </w:pPr>
            <w:r>
              <w:rPr>
                <w:rFonts w:eastAsia="Calibri" w:cs="Times New Roman"/>
                <w:color w:val="000000"/>
                <w:kern w:val="0"/>
                <w:sz w:val="24"/>
                <w:szCs w:val="24"/>
                <w:lang w:val="ru-RU" w:eastAsia="en-US" w:bidi="ar-SA"/>
              </w:rPr>
              <w:t>______________________________________</w:t>
            </w:r>
          </w:p>
        </w:tc>
      </w:tr>
      <w:tr>
        <w:trPr>
          <w:trHeight w:val="139" w:hRule="atLeast"/>
        </w:trPr>
        <w:tc>
          <w:tcPr>
            <w:tcW w:w="3059"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 w:val="24"/>
                <w:szCs w:val="24"/>
                <w:lang w:val="ru-RU" w:eastAsia="en-US" w:bidi="ar-SA"/>
              </w:rPr>
              <w:t>(дата)</w:t>
            </w:r>
          </w:p>
        </w:tc>
        <w:tc>
          <w:tcPr>
            <w:tcW w:w="1803" w:type="dxa"/>
            <w:tcBorders>
              <w:top w:val="nil"/>
              <w:left w:val="nil"/>
              <w:bottom w:val="nil"/>
              <w:right w:val="nil"/>
            </w:tcBorders>
          </w:tcPr>
          <w:p>
            <w:pPr>
              <w:pStyle w:val="Normal"/>
              <w:widowControl/>
              <w:spacing w:before="0" w:after="0"/>
              <w:jc w:val="left"/>
              <w:rPr>
                <w:rFonts w:ascii="Times New Roman" w:hAnsi="Times New Roman" w:cs="Times New Roman"/>
                <w:color w:val="000000"/>
                <w:sz w:val="24"/>
                <w:szCs w:val="24"/>
              </w:rPr>
            </w:pPr>
            <w:r>
              <w:rPr>
                <w:rFonts w:eastAsia="Calibri" w:cs="Times New Roman"/>
                <w:color w:val="000000"/>
                <w:kern w:val="0"/>
                <w:sz w:val="24"/>
                <w:szCs w:val="22"/>
                <w:lang w:val="ru-RU" w:eastAsia="en-US" w:bidi="ar-SA"/>
              </w:rPr>
            </w:r>
          </w:p>
        </w:tc>
        <w:tc>
          <w:tcPr>
            <w:tcW w:w="4776"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 w:val="24"/>
                <w:szCs w:val="24"/>
                <w:lang w:val="ru-RU" w:eastAsia="en-US" w:bidi="ar-SA"/>
              </w:rPr>
              <w:t>(подпись) (расшифровка подписи)</w:t>
            </w:r>
          </w:p>
        </w:tc>
      </w:tr>
    </w:tbl>
    <w:p>
      <w:pPr>
        <w:sectPr>
          <w:headerReference w:type="default" r:id="rId24"/>
          <w:footerReference w:type="default" r:id="rId25"/>
          <w:footnotePr>
            <w:numFmt w:val="chicago"/>
            <w:numRestart w:val="eachSect"/>
          </w:footnotePr>
          <w:type w:val="nextPage"/>
          <w:pgSz w:w="11906" w:h="16838"/>
          <w:pgMar w:left="1418" w:right="851" w:gutter="0" w:header="567" w:top="1559" w:footer="567" w:bottom="624"/>
          <w:pgNumType w:fmt="decimal"/>
          <w:formProt w:val="false"/>
          <w:textDirection w:val="lrTb"/>
          <w:docGrid w:type="default" w:linePitch="381" w:charSpace="0"/>
        </w:sectPr>
      </w:pPr>
    </w:p>
    <w:p>
      <w:pPr>
        <w:pStyle w:val="24"/>
        <w:spacing w:before="0" w:after="120"/>
        <w:rPr/>
      </w:pPr>
      <w:bookmarkStart w:id="98" w:name="_Toc145919157"/>
      <w:bookmarkStart w:id="99" w:name="_Toc100588943"/>
      <w:bookmarkStart w:id="100" w:name="_Ref150243786"/>
      <w:bookmarkStart w:id="101" w:name="_Toc100588942_Копия_1"/>
      <w:bookmarkEnd w:id="101"/>
      <w:r>
        <w:rPr/>
        <w:t>Приложение № </w:t>
      </w:r>
      <w:r>
        <w:rPr/>
        <w:fldChar w:fldCharType="begin"/>
      </w:r>
      <w:r>
        <w:rPr/>
        <w:instrText xml:space="preserve"> SEQ Приложение_№ \* ARABIC </w:instrText>
      </w:r>
      <w:r>
        <w:rPr/>
        <w:fldChar w:fldCharType="separate"/>
      </w:r>
      <w:r>
        <w:rPr/>
        <w:t>3</w:t>
      </w:r>
      <w:r>
        <w:rPr/>
        <w:fldChar w:fldCharType="end"/>
      </w:r>
      <w:bookmarkEnd w:id="100"/>
    </w:p>
    <w:p>
      <w:pPr>
        <w:pStyle w:val="Style32"/>
        <w:rPr/>
      </w:pPr>
      <w:bookmarkStart w:id="102" w:name="_Toc150263827"/>
      <w:r>
        <w:rPr>
          <w:rStyle w:val="58"/>
          <w:sz w:val="32"/>
          <w:szCs w:val="24"/>
        </w:rPr>
        <w:t xml:space="preserve">Форма </w:t>
      </w:r>
      <w:r>
        <w:rPr/>
        <w:t>согласия на обработку ПДн обучающегося (слушателя) АНО ДПО «Техническая академия Росатома»</w:t>
        <w:br/>
        <w:t>(иностранного гражданина</w:t>
      </w:r>
      <w:r>
        <w:rPr>
          <w:rStyle w:val="58"/>
          <w:sz w:val="32"/>
          <w:szCs w:val="24"/>
        </w:rPr>
        <w:t>)</w:t>
      </w:r>
      <w:bookmarkEnd w:id="98"/>
      <w:bookmarkEnd w:id="99"/>
      <w:bookmarkEnd w:id="102"/>
    </w:p>
    <w:p>
      <w:pPr>
        <w:pStyle w:val="Normal"/>
        <w:jc w:val="center"/>
        <w:rPr>
          <w:color w:val="000000"/>
        </w:rPr>
      </w:pPr>
      <w:r>
        <w:rPr>
          <w:b/>
          <w:color w:val="000000"/>
        </w:rPr>
        <w:t>СОГЛАСИЕ</w:t>
        <w:br/>
        <w:t>на обработку персональных данных обучающегося (слушателя) АНО ДПО «Техническая академия Росатома»</w:t>
        <w:br/>
        <w:t>(иностранного гражданина)</w:t>
      </w:r>
    </w:p>
    <w:p>
      <w:pPr>
        <w:pStyle w:val="Normal"/>
        <w:tabs>
          <w:tab w:val="clear" w:pos="720"/>
          <w:tab w:val="left" w:pos="0" w:leader="none"/>
        </w:tabs>
        <w:ind w:right="-1" w:hanging="0"/>
        <w:jc w:val="both"/>
        <w:rPr/>
      </w:pPr>
      <w:r>
        <w:rPr>
          <w:b/>
          <w:color w:val="000000"/>
          <w:szCs w:val="28"/>
        </w:rPr>
        <w:t>Я,</w:t>
      </w:r>
      <w:r>
        <w:rPr>
          <w:color w:val="000000"/>
          <w:szCs w:val="28"/>
        </w:rPr>
        <w:t>_________________________________________________(ФИО полностью) дата рождения, «</w:t>
      </w:r>
      <w:r>
        <w:rPr>
          <w:color w:val="000000"/>
          <w:szCs w:val="28"/>
          <w:u w:val="single" w:color="FFFFFF"/>
        </w:rPr>
        <w:t>__»_____________</w:t>
      </w:r>
      <w:r>
        <w:rPr>
          <w:color w:val="000000"/>
          <w:szCs w:val="28"/>
        </w:rPr>
        <w:t>_г., паспорт серия_</w:t>
      </w:r>
      <w:r>
        <w:rPr>
          <w:color w:val="000000"/>
          <w:szCs w:val="28"/>
          <w:u w:val="single" w:color="FFFFFF"/>
        </w:rPr>
        <w:t>______</w:t>
      </w:r>
      <w:r>
        <w:rPr>
          <w:color w:val="000000"/>
          <w:szCs w:val="28"/>
        </w:rPr>
        <w:t>№</w:t>
      </w:r>
      <w:r>
        <w:rPr>
          <w:color w:val="000000"/>
          <w:szCs w:val="28"/>
          <w:u w:val="single" w:color="FFFFFF"/>
        </w:rPr>
        <w:t>____________</w:t>
      </w:r>
      <w:r>
        <w:rPr>
          <w:color w:val="000000"/>
          <w:szCs w:val="28"/>
        </w:rPr>
        <w:t xml:space="preserve"> «___»__________г.________________________________ (кем выдан и когда), зарегистрированный(я) по</w:t>
      </w:r>
      <w:r>
        <w:rPr>
          <w:color w:val="000000"/>
        </w:rPr>
        <w:t> </w:t>
      </w:r>
      <w:r>
        <w:rPr>
          <w:color w:val="000000"/>
          <w:szCs w:val="28"/>
        </w:rPr>
        <w:t>адресу:______________________________________, адрес фактического</w:t>
      </w:r>
      <w:r>
        <w:rPr>
          <w:color w:val="000000"/>
        </w:rPr>
        <w:t> </w:t>
      </w:r>
      <w:r>
        <w:rPr>
          <w:color w:val="000000"/>
          <w:szCs w:val="28"/>
        </w:rPr>
        <w:t>проживания:________________________________________</w:t>
      </w:r>
    </w:p>
    <w:p>
      <w:pPr>
        <w:pStyle w:val="Normal"/>
        <w:ind w:left="23" w:right="-1" w:hanging="0"/>
        <w:jc w:val="both"/>
        <w:rPr/>
      </w:pPr>
      <w:r>
        <w:rPr>
          <w:b/>
          <w:color w:val="000000"/>
          <w:szCs w:val="28"/>
        </w:rPr>
        <w:t>В лице представителя субъекта персональных данных</w:t>
      </w:r>
      <w:r>
        <w:rPr>
          <w:color w:val="000000"/>
          <w:szCs w:val="28"/>
        </w:rPr>
        <w:t xml:space="preserve"> </w:t>
      </w:r>
      <w:r>
        <w:rPr>
          <w:i/>
          <w:color w:val="000000"/>
          <w:szCs w:val="28"/>
        </w:rPr>
        <w:t>(заполняется в случае получения согласия от представителя субъекта персональных данных)</w:t>
      </w:r>
      <w:r>
        <w:rPr>
          <w:color w:val="000000"/>
          <w:szCs w:val="28"/>
        </w:rPr>
        <w:t xml:space="preserve"> _______________________________________________(ФИО полностью), паспорт серия ____№________ «___»___________ г. (кем и когда выдан), проживающий</w:t>
      </w:r>
      <w:r>
        <w:rPr>
          <w:color w:val="000000"/>
        </w:rPr>
        <w:t> по адресу</w:t>
      </w:r>
      <w:r>
        <w:rPr>
          <w:color w:val="000000"/>
          <w:szCs w:val="28"/>
        </w:rPr>
        <w:t>______________________________________________,действующий от имени субъекта персональных данных на основании___________________________________________________________</w:t>
      </w:r>
    </w:p>
    <w:p>
      <w:pPr>
        <w:pStyle w:val="Normal"/>
        <w:ind w:right="-1" w:firstLine="1276"/>
        <w:jc w:val="both"/>
        <w:rPr/>
      </w:pPr>
      <w:r>
        <w:rPr>
          <w:color w:val="000000"/>
          <w:szCs w:val="28"/>
        </w:rPr>
        <w:t>(реквизиты доверенности или иного Документа, подтверждающего полномочия представителя).</w:t>
      </w:r>
    </w:p>
    <w:p>
      <w:pPr>
        <w:pStyle w:val="Normal"/>
        <w:ind w:left="23" w:right="-1" w:hanging="0"/>
        <w:jc w:val="both"/>
        <w:rPr/>
      </w:pPr>
      <w:r>
        <w:rPr>
          <w:color w:val="000000"/>
          <w:szCs w:val="28"/>
        </w:rPr>
        <w:t>В соответствии с ст. 9 закона Российской Федерации от 27.07.2006 № 152-ФЗ «О персональных данных» а также в соответствии со ст. 6 Регламента ЕС (GDPR), в целях:</w:t>
      </w:r>
    </w:p>
    <w:p>
      <w:pPr>
        <w:pStyle w:val="Style29"/>
        <w:numPr>
          <w:ilvl w:val="0"/>
          <w:numId w:val="7"/>
        </w:numPr>
        <w:ind w:left="284" w:hanging="284"/>
        <w:rPr>
          <w:color w:val="000000"/>
        </w:rPr>
      </w:pPr>
      <w:r>
        <w:rPr>
          <w:color w:val="000000"/>
        </w:rPr>
        <w:t>обеспечения соблюдения требований законодательства Российской Федерации, требований Регламента ЕС (GDPR), требований п. 3 ст. 76 Федерального закона «Об образовании в Российской Федерации» от 29.12.2012 № 273-ФЗ, осуществления обеспечения организации учебного процесса,</w:t>
      </w:r>
      <w:r>
        <w:rPr>
          <w:color w:val="000000"/>
          <w:shd w:fill="FFFFFF" w:val="clear"/>
        </w:rPr>
        <w:t xml:space="preserve"> в том числе предоставления сведений о документах об образовании и (или) о квалификации, документах об обучении в Федеральную информационную систему «Федеральный реестр сведений о документах об образовании и (или) о квалификации, документах об обучении» (ФИС ФРДО);</w:t>
      </w:r>
    </w:p>
    <w:p>
      <w:pPr>
        <w:pStyle w:val="Style29"/>
        <w:numPr>
          <w:ilvl w:val="0"/>
          <w:numId w:val="7"/>
        </w:numPr>
        <w:ind w:left="284" w:hanging="284"/>
        <w:rPr>
          <w:color w:val="000000"/>
        </w:rPr>
      </w:pPr>
      <w:r>
        <w:rPr>
          <w:color w:val="000000"/>
        </w:rPr>
        <w:t>обеспечения функционирования пропускного режима (доступ к местам проведения обучения, местам проживания и т.д.), организации и проведения обучения (учет посещаемости, ведение личных дел, выпуск сертификатов о завершении обучения и т.д.), оформления отчетной документации (ежемесячные, ежеквартальные отчеты), организации трансферов, оформления регистрации по месту временного пребывания;</w:t>
      </w:r>
      <w:r>
        <w:br w:type="page"/>
      </w:r>
    </w:p>
    <w:p>
      <w:pPr>
        <w:pStyle w:val="Style29"/>
        <w:numPr>
          <w:ilvl w:val="0"/>
          <w:numId w:val="7"/>
        </w:numPr>
        <w:ind w:left="284" w:hanging="284"/>
        <w:rPr>
          <w:color w:val="000000"/>
        </w:rPr>
      </w:pPr>
      <w:r>
        <w:rPr>
          <w:color w:val="000000"/>
        </w:rPr>
        <w:t>ведения бухгалтерского учета, передачи данных в банки, для оформления стипендиальной карты, а также передачи сведений в ИФНС, ФСС и ПФР,</w:t>
      </w:r>
    </w:p>
    <w:p>
      <w:pPr>
        <w:pStyle w:val="Style29"/>
        <w:numPr>
          <w:ilvl w:val="0"/>
          <w:numId w:val="31"/>
        </w:numPr>
        <w:tabs>
          <w:tab w:val="clear" w:pos="993"/>
          <w:tab w:val="left" w:pos="284" w:leader="none"/>
        </w:tabs>
        <w:ind w:left="0" w:hanging="0"/>
        <w:rPr>
          <w:color w:val="000000"/>
        </w:rPr>
      </w:pPr>
      <w:r>
        <w:rPr>
          <w:b/>
          <w:color w:val="000000"/>
        </w:rPr>
        <w:t>даю свое согласие</w:t>
      </w:r>
      <w:r>
        <w:rPr>
          <w:color w:val="000000"/>
        </w:rPr>
        <w:t xml:space="preserve"> Оператору (согласно Регламенту ЕС (</w:t>
      </w:r>
      <w:r>
        <w:rPr>
          <w:color w:val="000000"/>
          <w:lang w:val="en-US"/>
        </w:rPr>
        <w:t>GDPR</w:t>
      </w:r>
      <w:r>
        <w:rPr>
          <w:color w:val="000000"/>
        </w:rPr>
        <w:t xml:space="preserve">) </w:t>
      </w:r>
      <w:r>
        <w:rPr>
          <w:color w:val="000000"/>
          <w:sz w:val="24"/>
        </w:rPr>
        <w:t>–</w:t>
      </w:r>
      <w:r>
        <w:rPr>
          <w:color w:val="000000"/>
        </w:rPr>
        <w:t xml:space="preserve"> Контролеру) персональных данных </w:t>
      </w:r>
      <w:r>
        <w:rPr>
          <w:color w:val="000000"/>
          <w:sz w:val="24"/>
        </w:rPr>
        <w:t>–</w:t>
      </w:r>
      <w:r>
        <w:rPr>
          <w:color w:val="000000"/>
        </w:rPr>
        <w:t xml:space="preserve"> Автономной некоммерческой организации дополнительного профессионального образования «Техническая академия Росатома» (ОГРН 1174027012830, ИНН 4025450383), зарегистрированной по адресу: Калужская область, г. Обнинск, ул. Курчатова, д. 21, </w:t>
      </w:r>
      <w:r>
        <w:rPr>
          <w:b/>
          <w:color w:val="000000"/>
        </w:rPr>
        <w:t>на автоматизированную, а также без использования средств автоматизации, обработку моих персональных данных,</w:t>
      </w:r>
      <w:r>
        <w:rPr>
          <w:color w:val="000000"/>
        </w:rPr>
        <w:t xml:space="preserve"> в том числе с передачей полученной информации по информационно-телекоммуникационным сетям или без таковой, смешанную обработку персональных данных.</w:t>
      </w:r>
    </w:p>
    <w:p>
      <w:pPr>
        <w:pStyle w:val="Normal"/>
        <w:ind w:left="23" w:right="-1" w:hanging="0"/>
        <w:rPr>
          <w:color w:val="000000"/>
        </w:rPr>
      </w:pPr>
      <w:r>
        <w:rPr>
          <w:b/>
          <w:color w:val="000000"/>
          <w:szCs w:val="28"/>
        </w:rPr>
        <w:t>Согласие относится к обработке следующих персональных данных</w:t>
      </w:r>
      <w:r>
        <w:rPr>
          <w:rStyle w:val="Style15"/>
          <w:b/>
          <w:color w:val="000000"/>
          <w:szCs w:val="28"/>
        </w:rPr>
        <w:footnoteReference w:id="3"/>
      </w:r>
      <w:r>
        <w:rPr>
          <w:b/>
          <w:color w:val="000000"/>
          <w:szCs w:val="28"/>
        </w:rPr>
        <w:t xml:space="preserve">: </w:t>
      </w:r>
    </w:p>
    <w:p>
      <w:pPr>
        <w:pStyle w:val="Normal"/>
        <w:ind w:left="23" w:right="-1" w:hanging="0"/>
        <w:rPr>
          <w:color w:val="000000"/>
        </w:rPr>
      </w:pPr>
      <w:r>
        <w:rPr>
          <w:color w:val="000000"/>
          <w:szCs w:val="28"/>
        </w:rPr>
        <w:t xml:space="preserve">фамилия, имя, отчество; </w:t>
      </w:r>
    </w:p>
    <w:p>
      <w:pPr>
        <w:pStyle w:val="Normal"/>
        <w:ind w:left="23" w:right="-1" w:hanging="0"/>
        <w:rPr>
          <w:color w:val="000000"/>
        </w:rPr>
      </w:pPr>
      <w:r>
        <w:rPr>
          <w:color w:val="000000"/>
          <w:szCs w:val="28"/>
        </w:rPr>
        <w:t xml:space="preserve">пол; </w:t>
      </w:r>
    </w:p>
    <w:p>
      <w:pPr>
        <w:pStyle w:val="Normal"/>
        <w:ind w:left="23" w:right="-1" w:hanging="0"/>
        <w:rPr>
          <w:color w:val="000000"/>
        </w:rPr>
      </w:pPr>
      <w:r>
        <w:rPr>
          <w:color w:val="000000"/>
          <w:szCs w:val="28"/>
        </w:rPr>
        <w:t xml:space="preserve">дата и место рождения; </w:t>
      </w:r>
    </w:p>
    <w:p>
      <w:pPr>
        <w:pStyle w:val="Normal"/>
        <w:ind w:left="23" w:right="-1" w:hanging="0"/>
        <w:rPr>
          <w:color w:val="000000"/>
        </w:rPr>
      </w:pPr>
      <w:r>
        <w:rPr>
          <w:color w:val="000000"/>
          <w:szCs w:val="28"/>
        </w:rPr>
        <w:t>паспортные данные (серия, номер, когда и кем выдан);</w:t>
      </w:r>
    </w:p>
    <w:p>
      <w:pPr>
        <w:pStyle w:val="Normal"/>
        <w:ind w:left="23" w:right="-1" w:hanging="0"/>
        <w:rPr>
          <w:color w:val="000000"/>
        </w:rPr>
      </w:pPr>
      <w:r>
        <w:rPr>
          <w:color w:val="000000"/>
          <w:szCs w:val="28"/>
        </w:rPr>
        <w:t xml:space="preserve">гражданство; </w:t>
      </w:r>
    </w:p>
    <w:p>
      <w:pPr>
        <w:pStyle w:val="Normal"/>
        <w:ind w:left="23" w:right="-1" w:hanging="0"/>
        <w:rPr>
          <w:color w:val="000000"/>
        </w:rPr>
      </w:pPr>
      <w:r>
        <w:rPr>
          <w:color w:val="000000"/>
          <w:szCs w:val="28"/>
        </w:rPr>
        <w:t xml:space="preserve">адрес регистрации; </w:t>
      </w:r>
    </w:p>
    <w:p>
      <w:pPr>
        <w:pStyle w:val="Normal"/>
        <w:ind w:left="23" w:right="-1" w:hanging="0"/>
        <w:rPr>
          <w:color w:val="000000"/>
        </w:rPr>
      </w:pPr>
      <w:r>
        <w:rPr>
          <w:color w:val="000000"/>
          <w:szCs w:val="28"/>
        </w:rPr>
        <w:t xml:space="preserve">адрес фактический; </w:t>
      </w:r>
    </w:p>
    <w:p>
      <w:pPr>
        <w:pStyle w:val="Normal"/>
        <w:ind w:left="23" w:right="-1" w:hanging="0"/>
        <w:rPr>
          <w:color w:val="000000"/>
        </w:rPr>
      </w:pPr>
      <w:r>
        <w:rPr>
          <w:color w:val="000000"/>
          <w:szCs w:val="28"/>
        </w:rPr>
        <w:t xml:space="preserve">данные ИНН, СНИЛС; </w:t>
      </w:r>
    </w:p>
    <w:p>
      <w:pPr>
        <w:pStyle w:val="Normal"/>
        <w:ind w:left="23" w:right="-1" w:hanging="0"/>
        <w:rPr>
          <w:color w:val="000000"/>
        </w:rPr>
      </w:pPr>
      <w:r>
        <w:rPr>
          <w:color w:val="000000"/>
          <w:szCs w:val="28"/>
        </w:rPr>
        <w:t xml:space="preserve">сведения о воинском учете, сведения о социальных гарантиях и льготах; </w:t>
      </w:r>
    </w:p>
    <w:p>
      <w:pPr>
        <w:pStyle w:val="Normal"/>
        <w:ind w:left="23" w:right="-1" w:hanging="0"/>
        <w:rPr>
          <w:color w:val="000000"/>
        </w:rPr>
      </w:pPr>
      <w:r>
        <w:rPr>
          <w:color w:val="000000"/>
          <w:szCs w:val="28"/>
        </w:rPr>
        <w:t xml:space="preserve">контактная информация (телефон, эл, почта и пр.); </w:t>
      </w:r>
    </w:p>
    <w:p>
      <w:pPr>
        <w:pStyle w:val="Normal"/>
        <w:ind w:left="23" w:right="-1" w:hanging="0"/>
        <w:rPr>
          <w:color w:val="000000"/>
        </w:rPr>
      </w:pPr>
      <w:r>
        <w:rPr>
          <w:color w:val="000000"/>
          <w:szCs w:val="28"/>
        </w:rPr>
        <w:t>фотографии; данные заключения о профосмотре;</w:t>
      </w:r>
    </w:p>
    <w:p>
      <w:pPr>
        <w:pStyle w:val="Normal"/>
        <w:ind w:left="23" w:right="-1" w:hanging="0"/>
        <w:rPr>
          <w:color w:val="000000"/>
        </w:rPr>
      </w:pPr>
      <w:r>
        <w:rPr>
          <w:color w:val="000000"/>
          <w:szCs w:val="28"/>
        </w:rPr>
        <w:t xml:space="preserve">информация о здоровье/инвалидности (группа инвалидности, группа здоровья/функциональная группа, спецмедгруппа для физкультуры); </w:t>
      </w:r>
    </w:p>
    <w:p>
      <w:pPr>
        <w:pStyle w:val="Normal"/>
        <w:ind w:left="23" w:right="-1" w:hanging="0"/>
        <w:rPr>
          <w:color w:val="000000"/>
        </w:rPr>
      </w:pPr>
      <w:r>
        <w:rPr>
          <w:color w:val="000000"/>
          <w:szCs w:val="28"/>
        </w:rPr>
        <w:t>сведения об образовании;</w:t>
      </w:r>
    </w:p>
    <w:p>
      <w:pPr>
        <w:pStyle w:val="Normal"/>
        <w:ind w:left="23" w:right="-1" w:hanging="0"/>
        <w:rPr>
          <w:color w:val="000000"/>
        </w:rPr>
      </w:pPr>
      <w:r>
        <w:rPr>
          <w:color w:val="000000"/>
          <w:szCs w:val="28"/>
        </w:rPr>
        <w:t xml:space="preserve">сведения об обучении; </w:t>
      </w:r>
    </w:p>
    <w:p>
      <w:pPr>
        <w:pStyle w:val="Normal"/>
        <w:ind w:left="23" w:right="-1" w:hanging="0"/>
        <w:rPr>
          <w:color w:val="000000"/>
        </w:rPr>
      </w:pPr>
      <w:r>
        <w:rPr>
          <w:color w:val="000000"/>
          <w:szCs w:val="28"/>
        </w:rPr>
        <w:t xml:space="preserve">сведения о начислении стипендиальных и иных выплат; </w:t>
      </w:r>
    </w:p>
    <w:p>
      <w:pPr>
        <w:pStyle w:val="Normal"/>
        <w:ind w:left="23" w:right="-1" w:hanging="0"/>
        <w:rPr>
          <w:color w:val="000000"/>
        </w:rPr>
      </w:pPr>
      <w:r>
        <w:rPr>
          <w:color w:val="000000"/>
          <w:szCs w:val="28"/>
        </w:rPr>
        <w:t xml:space="preserve">сведения о законных представителях (ФИО, дата и место рождения, адрес регистрации и телефон). </w:t>
      </w:r>
    </w:p>
    <w:p>
      <w:pPr>
        <w:pStyle w:val="Normal"/>
        <w:ind w:left="23" w:right="-1" w:hanging="0"/>
        <w:rPr>
          <w:color w:val="000000"/>
        </w:rPr>
      </w:pPr>
      <w:r>
        <w:rPr>
          <w:color w:val="000000"/>
          <w:szCs w:val="28"/>
        </w:rPr>
        <w:t>прочие сведения, на основании которых может быть идентифицирован обучающийся.</w:t>
      </w:r>
    </w:p>
    <w:p>
      <w:pPr>
        <w:pStyle w:val="Normal"/>
        <w:ind w:left="23" w:right="-1" w:hanging="0"/>
        <w:jc w:val="both"/>
        <w:rPr>
          <w:color w:val="000000"/>
        </w:rPr>
      </w:pPr>
      <w:r>
        <w:rPr>
          <w:b/>
          <w:color w:val="000000"/>
          <w:szCs w:val="28"/>
        </w:rPr>
        <w:t>Перечень действий с персональными данными, на совершение которых дается согласие:</w:t>
      </w:r>
      <w:r>
        <w:rPr>
          <w:color w:val="000000"/>
          <w:szCs w:val="28"/>
        </w:rPr>
        <w:t xml:space="preserve"> сбор, запись, систематизация, накопление, хранение, уточнение (обновление, изменение), передача в указанных выше целях, извлечение, использование, обезличивание, блокирование, удаление, уничтожение персональных данных, как с использованием средств автоматизации, так и без использования средств автоматизации.</w:t>
      </w:r>
    </w:p>
    <w:p>
      <w:pPr>
        <w:pStyle w:val="Normal"/>
        <w:ind w:left="23" w:right="-1" w:firstLine="403"/>
        <w:jc w:val="both"/>
        <w:rPr>
          <w:color w:val="000000"/>
        </w:rPr>
      </w:pPr>
      <w:r>
        <w:rPr>
          <w:color w:val="000000"/>
          <w:szCs w:val="28"/>
        </w:rPr>
        <w:t>Персональные данные Субъекта, перечисленные выше, вносятся на бумажные и электронные носители информации, которые хранятся в АНО ДПО «Техническая академия Росатома».</w:t>
      </w:r>
      <w:r>
        <w:br w:type="page"/>
      </w:r>
    </w:p>
    <w:p>
      <w:pPr>
        <w:pStyle w:val="Normal"/>
        <w:tabs>
          <w:tab w:val="clear" w:pos="720"/>
          <w:tab w:val="center" w:pos="1298" w:leader="none"/>
          <w:tab w:val="center" w:pos="4370" w:leader="none"/>
          <w:tab w:val="center" w:pos="7561" w:leader="none"/>
        </w:tabs>
        <w:ind w:right="-28" w:firstLine="426"/>
        <w:jc w:val="both"/>
        <w:rPr>
          <w:color w:val="000000"/>
        </w:rPr>
      </w:pPr>
      <w:r>
        <w:rPr>
          <w:color w:val="000000"/>
          <w:szCs w:val="28"/>
        </w:rPr>
        <w:tab/>
        <w:t xml:space="preserve">Настоящее согласие действует со дня его подписания и </w:t>
      </w:r>
      <w:r>
        <w:rPr>
          <w:color w:val="000000"/>
          <w:szCs w:val="28"/>
          <w:shd w:fill="FFFFFF" w:val="clear"/>
        </w:rPr>
        <w:t xml:space="preserve">до достижения цели обработки </w:t>
      </w:r>
      <w:r>
        <w:rPr>
          <w:bCs/>
          <w:color w:val="000000"/>
          <w:szCs w:val="28"/>
          <w:shd w:fill="FFFFFF" w:val="clear"/>
        </w:rPr>
        <w:t>персональных данных</w:t>
      </w:r>
      <w:r>
        <w:rPr>
          <w:color w:val="000000"/>
          <w:szCs w:val="28"/>
          <w:shd w:fill="FFFFFF" w:val="clear"/>
        </w:rPr>
        <w:t xml:space="preserve">, а после чего не позднее 30-ти дней персональные </w:t>
      </w:r>
      <w:r>
        <w:rPr>
          <w:bCs/>
          <w:color w:val="000000"/>
          <w:szCs w:val="28"/>
          <w:shd w:fill="FFFFFF" w:val="clear"/>
        </w:rPr>
        <w:t>данные</w:t>
      </w:r>
      <w:r>
        <w:rPr>
          <w:color w:val="000000"/>
          <w:szCs w:val="28"/>
          <w:shd w:fill="FFFFFF" w:val="clear"/>
        </w:rPr>
        <w:t xml:space="preserve"> уничтожаются Оператором </w:t>
      </w:r>
      <w:r>
        <w:rPr>
          <w:color w:val="000000"/>
          <w:szCs w:val="28"/>
        </w:rPr>
        <w:t>(согласно Регламенту ЕС (</w:t>
      </w:r>
      <w:r>
        <w:rPr>
          <w:color w:val="000000"/>
          <w:szCs w:val="28"/>
          <w:lang w:val="en-US"/>
        </w:rPr>
        <w:t>GDPR</w:t>
      </w:r>
      <w:r>
        <w:rPr>
          <w:color w:val="000000"/>
          <w:szCs w:val="28"/>
        </w:rPr>
        <w:t xml:space="preserve">) </w:t>
      </w:r>
      <w:r>
        <w:rPr>
          <w:color w:val="000000"/>
          <w:sz w:val="24"/>
        </w:rPr>
        <w:t>–</w:t>
      </w:r>
      <w:r>
        <w:rPr>
          <w:color w:val="000000"/>
          <w:szCs w:val="28"/>
        </w:rPr>
        <w:t xml:space="preserve"> Контролером) </w:t>
      </w:r>
      <w:r>
        <w:rPr>
          <w:color w:val="000000"/>
          <w:szCs w:val="28"/>
          <w:shd w:fill="FFFFFF" w:val="clear"/>
        </w:rPr>
        <w:t>в связи с достижением цели обработки таких данных.</w:t>
      </w:r>
    </w:p>
    <w:p>
      <w:pPr>
        <w:pStyle w:val="Normal"/>
        <w:tabs>
          <w:tab w:val="clear" w:pos="720"/>
          <w:tab w:val="center" w:pos="1298" w:leader="none"/>
          <w:tab w:val="center" w:pos="4370" w:leader="none"/>
          <w:tab w:val="center" w:pos="7561" w:leader="none"/>
        </w:tabs>
        <w:ind w:right="-28" w:hanging="0"/>
        <w:rPr>
          <w:color w:val="000000"/>
          <w:szCs w:val="28"/>
        </w:rPr>
      </w:pPr>
      <w:r>
        <w:rPr>
          <w:color w:val="000000"/>
          <w:szCs w:val="28"/>
        </w:rPr>
      </w:r>
    </w:p>
    <w:p>
      <w:pPr>
        <w:pStyle w:val="Normal"/>
        <w:tabs>
          <w:tab w:val="clear" w:pos="720"/>
          <w:tab w:val="center" w:pos="1298" w:leader="none"/>
          <w:tab w:val="center" w:pos="4370" w:leader="none"/>
          <w:tab w:val="center" w:pos="7561" w:leader="none"/>
        </w:tabs>
        <w:ind w:right="-28" w:hanging="0"/>
        <w:rPr>
          <w:color w:val="000000"/>
          <w:szCs w:val="28"/>
        </w:rPr>
      </w:pPr>
      <w:r>
        <w:rPr>
          <w:color w:val="000000"/>
          <w:szCs w:val="28"/>
        </w:rPr>
      </w:r>
    </w:p>
    <w:tbl>
      <w:tblPr>
        <w:tblStyle w:val="affb"/>
        <w:tblW w:w="9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3059"/>
        <w:gridCol w:w="1803"/>
        <w:gridCol w:w="4776"/>
      </w:tblGrid>
      <w:tr>
        <w:trPr>
          <w:trHeight w:val="139" w:hRule="atLeast"/>
        </w:trPr>
        <w:tc>
          <w:tcPr>
            <w:tcW w:w="3059"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Cs w:val="28"/>
                <w:lang w:val="ru-RU" w:eastAsia="en-US" w:bidi="ar-SA"/>
              </w:rPr>
              <w:t>_____________20____г</w:t>
            </w:r>
          </w:p>
        </w:tc>
        <w:tc>
          <w:tcPr>
            <w:tcW w:w="1803" w:type="dxa"/>
            <w:tcBorders>
              <w:top w:val="nil"/>
              <w:left w:val="nil"/>
              <w:bottom w:val="nil"/>
              <w:right w:val="nil"/>
            </w:tcBorders>
          </w:tcPr>
          <w:p>
            <w:pPr>
              <w:pStyle w:val="Normal"/>
              <w:widowControl/>
              <w:spacing w:before="0" w:after="0"/>
              <w:jc w:val="left"/>
              <w:rPr>
                <w:rFonts w:ascii="Times New Roman" w:hAnsi="Times New Roman" w:cs="Times New Roman"/>
                <w:color w:val="000000"/>
                <w:sz w:val="24"/>
                <w:szCs w:val="24"/>
              </w:rPr>
            </w:pPr>
            <w:r>
              <w:rPr>
                <w:rFonts w:eastAsia="Calibri" w:cs="Times New Roman"/>
                <w:color w:val="000000"/>
                <w:kern w:val="0"/>
                <w:sz w:val="24"/>
                <w:szCs w:val="22"/>
                <w:lang w:val="ru-RU" w:eastAsia="en-US" w:bidi="ar-SA"/>
              </w:rPr>
            </w:r>
          </w:p>
        </w:tc>
        <w:tc>
          <w:tcPr>
            <w:tcW w:w="4776" w:type="dxa"/>
            <w:tcBorders>
              <w:top w:val="nil"/>
              <w:left w:val="nil"/>
              <w:bottom w:val="nil"/>
              <w:right w:val="nil"/>
            </w:tcBorders>
          </w:tcPr>
          <w:p>
            <w:pPr>
              <w:pStyle w:val="Normal"/>
              <w:widowControl/>
              <w:spacing w:before="0" w:after="0"/>
              <w:jc w:val="left"/>
              <w:rPr>
                <w:rFonts w:ascii="Times New Roman" w:hAnsi="Times New Roman" w:cs="Times New Roman"/>
                <w:color w:val="000000"/>
              </w:rPr>
            </w:pPr>
            <w:r>
              <w:rPr>
                <w:rFonts w:eastAsia="Calibri" w:cs="Times New Roman"/>
                <w:color w:val="000000"/>
                <w:kern w:val="0"/>
                <w:sz w:val="24"/>
                <w:szCs w:val="24"/>
                <w:lang w:val="ru-RU" w:eastAsia="en-US" w:bidi="ar-SA"/>
              </w:rPr>
              <w:t>______________________________________</w:t>
            </w:r>
          </w:p>
        </w:tc>
      </w:tr>
      <w:tr>
        <w:trPr>
          <w:trHeight w:val="139" w:hRule="atLeast"/>
        </w:trPr>
        <w:tc>
          <w:tcPr>
            <w:tcW w:w="3059"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 w:val="24"/>
                <w:szCs w:val="24"/>
                <w:lang w:val="ru-RU" w:eastAsia="en-US" w:bidi="ar-SA"/>
              </w:rPr>
              <w:t>(дата)</w:t>
            </w:r>
          </w:p>
        </w:tc>
        <w:tc>
          <w:tcPr>
            <w:tcW w:w="1803" w:type="dxa"/>
            <w:tcBorders>
              <w:top w:val="nil"/>
              <w:left w:val="nil"/>
              <w:bottom w:val="nil"/>
              <w:right w:val="nil"/>
            </w:tcBorders>
          </w:tcPr>
          <w:p>
            <w:pPr>
              <w:pStyle w:val="Normal"/>
              <w:widowControl/>
              <w:spacing w:before="0" w:after="0"/>
              <w:jc w:val="left"/>
              <w:rPr>
                <w:rFonts w:ascii="Times New Roman" w:hAnsi="Times New Roman" w:cs="Times New Roman"/>
                <w:color w:val="000000"/>
                <w:sz w:val="24"/>
                <w:szCs w:val="24"/>
              </w:rPr>
            </w:pPr>
            <w:r>
              <w:rPr>
                <w:rFonts w:eastAsia="Calibri" w:cs="Times New Roman"/>
                <w:color w:val="000000"/>
                <w:kern w:val="0"/>
                <w:sz w:val="24"/>
                <w:szCs w:val="22"/>
                <w:lang w:val="ru-RU" w:eastAsia="en-US" w:bidi="ar-SA"/>
              </w:rPr>
            </w:r>
          </w:p>
        </w:tc>
        <w:tc>
          <w:tcPr>
            <w:tcW w:w="4776"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 w:val="24"/>
                <w:szCs w:val="24"/>
                <w:lang w:val="ru-RU" w:eastAsia="en-US" w:bidi="ar-SA"/>
              </w:rPr>
              <w:t>(подпись) (расшифровка подписи)</w:t>
            </w:r>
          </w:p>
        </w:tc>
      </w:tr>
    </w:tbl>
    <w:p>
      <w:pPr>
        <w:sectPr>
          <w:headerReference w:type="default" r:id="rId26"/>
          <w:footerReference w:type="default" r:id="rId27"/>
          <w:footnotePr>
            <w:numFmt w:val="chicago"/>
            <w:numRestart w:val="eachSect"/>
          </w:footnotePr>
          <w:type w:val="nextPage"/>
          <w:pgSz w:w="11906" w:h="16838"/>
          <w:pgMar w:left="1418" w:right="851" w:gutter="0" w:header="567" w:top="1559" w:footer="567" w:bottom="624"/>
          <w:pgNumType w:fmt="decimal"/>
          <w:formProt w:val="false"/>
          <w:textDirection w:val="lrTb"/>
          <w:docGrid w:type="default" w:linePitch="381" w:charSpace="0"/>
        </w:sectPr>
      </w:pPr>
    </w:p>
    <w:p>
      <w:pPr>
        <w:pStyle w:val="24"/>
        <w:rPr/>
      </w:pPr>
      <w:bookmarkStart w:id="103" w:name="_Toc145919158"/>
      <w:bookmarkStart w:id="104" w:name="_Ref150244003"/>
      <w:r>
        <w:rPr/>
        <w:t>Приложение № </w:t>
      </w:r>
      <w:r>
        <w:rPr/>
        <w:fldChar w:fldCharType="begin"/>
      </w:r>
      <w:r>
        <w:rPr/>
        <w:instrText xml:space="preserve"> SEQ Приложение_№ \* ARABIC </w:instrText>
      </w:r>
      <w:r>
        <w:rPr/>
        <w:fldChar w:fldCharType="separate"/>
      </w:r>
      <w:r>
        <w:rPr/>
        <w:t>4</w:t>
      </w:r>
      <w:r>
        <w:rPr/>
        <w:fldChar w:fldCharType="end"/>
      </w:r>
      <w:bookmarkEnd w:id="104"/>
    </w:p>
    <w:p>
      <w:pPr>
        <w:pStyle w:val="Style32"/>
        <w:rPr/>
      </w:pPr>
      <w:bookmarkStart w:id="105" w:name="_Toc145919158"/>
      <w:bookmarkStart w:id="106" w:name="_Toc150263828"/>
      <w:r>
        <w:rPr/>
        <w:t>Согласие</w:t>
        <w:br/>
        <w:t>на обработку биометрических персональных данных</w:t>
      </w:r>
      <w:bookmarkEnd w:id="105"/>
      <w:bookmarkEnd w:id="106"/>
    </w:p>
    <w:p>
      <w:pPr>
        <w:pStyle w:val="Normal"/>
        <w:tabs>
          <w:tab w:val="clear" w:pos="720"/>
          <w:tab w:val="left" w:pos="0" w:leader="none"/>
        </w:tabs>
        <w:ind w:right="-1" w:hanging="0"/>
        <w:rPr>
          <w:sz w:val="24"/>
          <w:szCs w:val="24"/>
        </w:rPr>
      </w:pPr>
      <w:r>
        <w:rPr>
          <w:b/>
          <w:sz w:val="24"/>
          <w:szCs w:val="24"/>
        </w:rPr>
        <w:t>Настоящим я,</w:t>
      </w:r>
      <w:r>
        <w:rPr>
          <w:sz w:val="24"/>
          <w:szCs w:val="24"/>
        </w:rPr>
        <w:t>_________________________________________________(ФИО полностью) дата рождения, «</w:t>
      </w:r>
      <w:r>
        <w:rPr>
          <w:sz w:val="24"/>
          <w:szCs w:val="24"/>
          <w:u w:val="single"/>
        </w:rPr>
        <w:t>__»_____________</w:t>
      </w:r>
      <w:r>
        <w:rPr>
          <w:sz w:val="24"/>
          <w:szCs w:val="24"/>
        </w:rPr>
        <w:t>_г., паспорт серия_</w:t>
      </w:r>
      <w:r>
        <w:rPr>
          <w:sz w:val="24"/>
          <w:szCs w:val="24"/>
          <w:u w:val="single"/>
        </w:rPr>
        <w:t>______</w:t>
      </w:r>
      <w:r>
        <w:rPr>
          <w:sz w:val="24"/>
          <w:szCs w:val="24"/>
        </w:rPr>
        <w:t>№</w:t>
      </w:r>
      <w:r>
        <w:rPr>
          <w:sz w:val="24"/>
          <w:szCs w:val="24"/>
          <w:u w:val="single"/>
        </w:rPr>
        <w:t>____________</w:t>
      </w:r>
      <w:r>
        <w:rPr>
          <w:sz w:val="24"/>
          <w:szCs w:val="24"/>
        </w:rPr>
        <w:t xml:space="preserve"> «___»__________г.________________________________ (кем выдан и когда), зарегистрированный(я) по адресу:______________________________________, адрес фактического проживания:________________________________________</w:t>
      </w:r>
    </w:p>
    <w:p>
      <w:pPr>
        <w:pStyle w:val="Normal"/>
        <w:ind w:left="23" w:right="-1" w:hanging="0"/>
        <w:jc w:val="both"/>
        <w:rPr>
          <w:sz w:val="24"/>
          <w:szCs w:val="24"/>
        </w:rPr>
      </w:pPr>
      <w:r>
        <w:rPr>
          <w:b/>
          <w:sz w:val="24"/>
          <w:szCs w:val="24"/>
        </w:rPr>
        <w:t>В лице представителя субъекта персональных данных</w:t>
      </w:r>
      <w:r>
        <w:rPr>
          <w:sz w:val="24"/>
          <w:szCs w:val="24"/>
        </w:rPr>
        <w:t xml:space="preserve"> </w:t>
      </w:r>
      <w:r>
        <w:rPr>
          <w:i/>
          <w:sz w:val="24"/>
          <w:szCs w:val="24"/>
        </w:rPr>
        <w:t>(заполняется в случае получения согласия от представителя субъекта персональных данных)</w:t>
      </w:r>
      <w:r>
        <w:rPr>
          <w:sz w:val="24"/>
          <w:szCs w:val="24"/>
        </w:rPr>
        <w:t xml:space="preserve"> _______________________________________________(ФИО полностью), паспорт серия ____№________ «___»___________ г. (кем и когда выдан), проживающий по адресу______________________________________________,действующий от имени субъекта персональных данных на основании___________________________________________________________,</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(реквизиты доверенности или иного Документа, подтверждающего полномочия представителя).</w:t>
      </w:r>
    </w:p>
    <w:p>
      <w:pPr>
        <w:pStyle w:val="ConsPlusNormal"/>
        <w:ind w:firstLine="540"/>
        <w:jc w:val="both"/>
        <w:rPr>
          <w:rFonts w:ascii="Times New Roman" w:hAnsi="Times New Roman" w:cs="Times New Roman"/>
        </w:rPr>
      </w:pPr>
      <w:r>
        <w:rPr>
          <w:rFonts w:cs="Times New Roman" w:ascii="Times New Roman" w:hAnsi="Times New Roman"/>
          <w:sz w:val="24"/>
          <w:szCs w:val="24"/>
        </w:rPr>
        <w:t xml:space="preserve">в соответствии с </w:t>
      </w:r>
      <w:hyperlink r:id="rId28">
        <w:r>
          <w:rPr>
            <w:rFonts w:cs="Times New Roman" w:ascii="Times New Roman" w:hAnsi="Times New Roman"/>
            <w:sz w:val="24"/>
            <w:szCs w:val="24"/>
          </w:rPr>
          <w:t>ч. 4 ст. 9</w:t>
        </w:r>
      </w:hyperlink>
      <w:r>
        <w:rPr>
          <w:rFonts w:cs="Times New Roman" w:ascii="Times New Roman" w:hAnsi="Times New Roman"/>
          <w:sz w:val="24"/>
          <w:szCs w:val="24"/>
        </w:rPr>
        <w:t xml:space="preserve">, </w:t>
      </w:r>
      <w:hyperlink r:id="rId29">
        <w:r>
          <w:rPr>
            <w:rFonts w:cs="Times New Roman" w:ascii="Times New Roman" w:hAnsi="Times New Roman"/>
            <w:sz w:val="24"/>
            <w:szCs w:val="24"/>
          </w:rPr>
          <w:t>ст. 11</w:t>
        </w:r>
      </w:hyperlink>
      <w:r>
        <w:rPr>
          <w:rFonts w:cs="Times New Roman" w:ascii="Times New Roman" w:hAnsi="Times New Roman"/>
          <w:sz w:val="24"/>
          <w:szCs w:val="24"/>
        </w:rPr>
        <w:t xml:space="preserve"> и п. 3 ст. 3 Федерального закона от 27.07.2006 № 152-ФЗ «О персональных данных», </w:t>
      </w:r>
      <w:r>
        <w:rPr>
          <w:rFonts w:cs="Times New Roman" w:ascii="Times New Roman" w:hAnsi="Times New Roman"/>
          <w:b/>
          <w:sz w:val="24"/>
          <w:szCs w:val="24"/>
        </w:rPr>
        <w:t>даю свое согласие</w:t>
      </w:r>
      <w:r>
        <w:rPr>
          <w:rFonts w:cs="Times New Roman" w:ascii="Times New Roman" w:hAnsi="Times New Roman"/>
          <w:sz w:val="24"/>
          <w:szCs w:val="24"/>
        </w:rPr>
        <w:t xml:space="preserve"> Оператору персональных данных - Автономной некоммерческой организации дополнительного профессионального образования «Техническая академия Росатома» (ОГРН 1174027012830, ИНН 4025450383), зарегистрированной по адресу: Калужская область, г. Обнинск, ул. Курчатова, д. 21, на автоматизированную, а также без использования средств автоматизации, смешанную </w:t>
      </w:r>
      <w:r>
        <w:rPr>
          <w:rFonts w:cs="Times New Roman" w:ascii="Times New Roman" w:hAnsi="Times New Roman"/>
          <w:b/>
          <w:sz w:val="24"/>
          <w:szCs w:val="24"/>
        </w:rPr>
        <w:t xml:space="preserve">обработку </w:t>
      </w:r>
      <w:r>
        <w:rPr>
          <w:rFonts w:cs="Times New Roman" w:ascii="Times New Roman" w:hAnsi="Times New Roman"/>
          <w:b/>
          <w:sz w:val="24"/>
          <w:szCs w:val="24"/>
          <w:u w:val="single"/>
        </w:rPr>
        <w:t xml:space="preserve">моих биометрических персональных данных в целях </w:t>
      </w:r>
      <w:r>
        <w:rPr>
          <w:rFonts w:cs="Times New Roman" w:ascii="Times New Roman" w:hAnsi="Times New Roman"/>
          <w:b/>
          <w:sz w:val="24"/>
          <w:szCs w:val="24"/>
        </w:rPr>
        <w:t>обеспечения пропускного режима в организацию, а именно: использования видеофиксации лица при проходе на территорию.</w:t>
      </w:r>
    </w:p>
    <w:p>
      <w:pPr>
        <w:pStyle w:val="ConsPlusNormal"/>
        <w:ind w:firstLine="540"/>
        <w:jc w:val="both"/>
        <w:rPr>
          <w:rFonts w:ascii="Times New Roman" w:hAnsi="Times New Roman" w:cs="Times New Roman"/>
          <w:sz w:val="24"/>
          <w:szCs w:val="24"/>
        </w:rPr>
      </w:pPr>
      <w:r>
        <w:rPr>
          <w:rFonts w:cs="Times New Roman" w:ascii="Times New Roman" w:hAnsi="Times New Roman"/>
          <w:b/>
          <w:sz w:val="24"/>
          <w:szCs w:val="24"/>
        </w:rPr>
        <w:t>Перечень действий с персональными данными, на совершение которых дается согласие:</w:t>
      </w:r>
      <w:r>
        <w:rPr>
          <w:rFonts w:cs="Times New Roman" w:ascii="Times New Roman" w:hAnsi="Times New Roman"/>
          <w:sz w:val="24"/>
          <w:szCs w:val="24"/>
        </w:rPr>
        <w:t xml:space="preserve"> обработку без ограничения моих персональных данных, включая сбор, запись, систематизация, накопление, хранение, уточнение (обновление, изменение), использование, обезличивание, блокирование, удаление, уничтожение персональных данных, как с использованием средств автоматизации, так и без использования средств автоматизации, запись на электронные носители и их хранение.</w:t>
      </w:r>
    </w:p>
    <w:p>
      <w:pPr>
        <w:pStyle w:val="ConsPlusNormal"/>
        <w:ind w:firstLine="540"/>
        <w:jc w:val="both"/>
        <w:rPr>
          <w:rFonts w:ascii="Times New Roman" w:hAnsi="Times New Roman" w:cs="Times New Roman"/>
          <w:sz w:val="24"/>
          <w:szCs w:val="24"/>
        </w:rPr>
      </w:pPr>
      <w:r>
        <w:rPr>
          <w:rFonts w:cs="Times New Roman" w:ascii="Times New Roman" w:hAnsi="Times New Roman"/>
          <w:b/>
          <w:bCs/>
          <w:sz w:val="24"/>
          <w:szCs w:val="24"/>
        </w:rPr>
        <w:t xml:space="preserve">Моими биометрическими персональными данными являются: </w:t>
      </w:r>
      <w:r>
        <w:rPr>
          <w:rFonts w:cs="Times New Roman" w:ascii="Times New Roman" w:hAnsi="Times New Roman"/>
          <w:sz w:val="24"/>
          <w:szCs w:val="24"/>
        </w:rPr>
        <w:t>мое фото-и видеоизображение.</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 xml:space="preserve">Настоящее согласие действует со дня его подписания и </w:t>
      </w:r>
      <w:r>
        <w:rPr>
          <w:rFonts w:cs="Times New Roman" w:ascii="Times New Roman" w:hAnsi="Times New Roman"/>
          <w:sz w:val="24"/>
          <w:szCs w:val="24"/>
          <w:shd w:fill="FFFFFF" w:val="clear"/>
        </w:rPr>
        <w:t>до достижения цели обработки </w:t>
      </w:r>
      <w:r>
        <w:rPr>
          <w:rFonts w:cs="Times New Roman" w:ascii="Times New Roman" w:hAnsi="Times New Roman"/>
          <w:bCs/>
          <w:sz w:val="24"/>
          <w:szCs w:val="24"/>
          <w:shd w:fill="FFFFFF" w:val="clear"/>
        </w:rPr>
        <w:t xml:space="preserve">персональных данных и может быть отозвано мной при представлении оператору заявления в простой письменной форме. По достижении цели обработки, </w:t>
      </w:r>
      <w:r>
        <w:rPr>
          <w:rFonts w:cs="Times New Roman" w:ascii="Times New Roman" w:hAnsi="Times New Roman"/>
          <w:sz w:val="24"/>
          <w:szCs w:val="24"/>
          <w:shd w:fill="FFFFFF" w:val="clear"/>
        </w:rPr>
        <w:t>не позднее 30-ти дней персональные </w:t>
      </w:r>
      <w:r>
        <w:rPr>
          <w:rFonts w:cs="Times New Roman" w:ascii="Times New Roman" w:hAnsi="Times New Roman"/>
          <w:bCs/>
          <w:sz w:val="24"/>
          <w:szCs w:val="24"/>
          <w:shd w:fill="FFFFFF" w:val="clear"/>
        </w:rPr>
        <w:t>данные</w:t>
      </w:r>
      <w:r>
        <w:rPr>
          <w:rFonts w:cs="Times New Roman" w:ascii="Times New Roman" w:hAnsi="Times New Roman"/>
          <w:sz w:val="24"/>
          <w:szCs w:val="24"/>
          <w:shd w:fill="FFFFFF" w:val="clear"/>
        </w:rPr>
        <w:t xml:space="preserve"> уничтожаются Оператором </w:t>
      </w:r>
      <w:r>
        <w:rPr>
          <w:rFonts w:cs="Times New Roman" w:ascii="Times New Roman" w:hAnsi="Times New Roman"/>
          <w:sz w:val="24"/>
          <w:szCs w:val="24"/>
        </w:rPr>
        <w:t>(согласно Регламенту ЕС (</w:t>
      </w:r>
      <w:r>
        <w:rPr>
          <w:rFonts w:cs="Times New Roman" w:ascii="Times New Roman" w:hAnsi="Times New Roman"/>
          <w:sz w:val="24"/>
          <w:szCs w:val="24"/>
          <w:lang w:val="en-US"/>
        </w:rPr>
        <w:t>GDPR</w:t>
      </w:r>
      <w:r>
        <w:rPr>
          <w:rFonts w:cs="Times New Roman" w:ascii="Times New Roman" w:hAnsi="Times New Roman"/>
          <w:sz w:val="24"/>
          <w:szCs w:val="24"/>
        </w:rPr>
        <w:t>) – Контролером)</w:t>
      </w:r>
      <w:r>
        <w:rPr>
          <w:rFonts w:cs="Times New Roman" w:ascii="Times New Roman" w:hAnsi="Times New Roman"/>
          <w:sz w:val="24"/>
          <w:szCs w:val="24"/>
          <w:shd w:fill="FFFFFF" w:val="clear"/>
        </w:rPr>
        <w:t>.</w:t>
      </w:r>
    </w:p>
    <w:p>
      <w:pPr>
        <w:pStyle w:val="ConsPlusNormal"/>
        <w:widowControl/>
        <w:spacing w:before="240" w:after="0"/>
        <w:contextualSpacing/>
        <w:jc w:val="both"/>
        <w:rPr>
          <w:rFonts w:ascii="Times New Roman" w:hAnsi="Times New Roman" w:cs="Times New Roman"/>
          <w:sz w:val="24"/>
          <w:szCs w:val="24"/>
        </w:rPr>
      </w:pPr>
      <w:r>
        <w:rPr>
          <w:rFonts w:cs="Times New Roman" w:ascii="Times New Roman" w:hAnsi="Times New Roman"/>
          <w:b/>
          <w:bCs/>
          <w:color w:val="000000"/>
          <w:sz w:val="24"/>
          <w:szCs w:val="24"/>
          <w:shd w:fill="FFFFFF" w:val="clear"/>
        </w:rPr>
        <w:t>________________ (подпись) /_________________________________ (Ф.И.О.)</w:t>
      </w:r>
    </w:p>
    <w:p>
      <w:pPr>
        <w:pStyle w:val="Normal"/>
        <w:suppressAutoHyphens w:val="true"/>
        <w:rPr>
          <w:b/>
          <w:b/>
          <w:bCs/>
          <w:color w:val="000000"/>
          <w:szCs w:val="28"/>
          <w:shd w:fill="FFFFFF" w:val="clear"/>
        </w:rPr>
      </w:pPr>
      <w:r>
        <w:rPr>
          <w:b/>
          <w:bCs/>
          <w:color w:val="000000"/>
          <w:szCs w:val="28"/>
          <w:shd w:fill="FFFFFF" w:val="clear"/>
        </w:rPr>
      </w:r>
      <w:r>
        <w:br w:type="page"/>
      </w:r>
    </w:p>
    <w:p>
      <w:pPr>
        <w:pStyle w:val="24"/>
        <w:rPr/>
      </w:pPr>
      <w:bookmarkStart w:id="107" w:name="_Ref150244017"/>
      <w:r>
        <w:rPr/>
        <w:t>Приложение № </w:t>
      </w:r>
      <w:r>
        <w:rPr/>
        <w:fldChar w:fldCharType="begin"/>
      </w:r>
      <w:r>
        <w:rPr/>
        <w:instrText xml:space="preserve"> SEQ Приложение_№ \* ARABIC </w:instrText>
      </w:r>
      <w:r>
        <w:rPr/>
        <w:fldChar w:fldCharType="separate"/>
      </w:r>
      <w:r>
        <w:rPr/>
        <w:t>5</w:t>
      </w:r>
      <w:r>
        <w:rPr/>
        <w:fldChar w:fldCharType="end"/>
      </w:r>
      <w:bookmarkEnd w:id="107"/>
    </w:p>
    <w:p>
      <w:pPr>
        <w:pStyle w:val="Style32"/>
        <w:rPr/>
      </w:pPr>
      <w:bookmarkStart w:id="108" w:name="_Toc150263829"/>
      <w:r>
        <w:rPr/>
        <w:t>Согласие на обработку персональных данных,</w:t>
        <w:br/>
        <w:t>разрешенных субъектом персональных данных</w:t>
        <w:br/>
        <w:t xml:space="preserve">для </w:t>
      </w:r>
      <w:bookmarkStart w:id="109" w:name="_Toc145919159"/>
      <w:r>
        <w:rPr/>
        <w:t>распространения</w:t>
      </w:r>
      <w:bookmarkEnd w:id="109"/>
      <w:r>
        <w:rPr/>
        <w:t>/передачи</w:t>
      </w:r>
      <w:bookmarkEnd w:id="108"/>
    </w:p>
    <w:p>
      <w:pPr>
        <w:pStyle w:val="Style36"/>
        <w:tabs>
          <w:tab w:val="clear" w:pos="709"/>
          <w:tab w:val="left" w:pos="0" w:leader="none"/>
        </w:tabs>
        <w:ind w:left="0" w:hanging="0"/>
        <w:rPr>
          <w:sz w:val="24"/>
          <w:szCs w:val="24"/>
        </w:rPr>
      </w:pPr>
      <w:r>
        <w:rPr>
          <w:sz w:val="24"/>
          <w:szCs w:val="24"/>
        </w:rPr>
        <w:t>Настоящим я, ______________________, паспорт серии ________ № ________, выдан ________20__г. _______________________________(кем), код подразделения ________, зарегистрированный по адресу: _____(индекс), _________________, адрес электронной почты: ____________________, номер телефона: _____________________, руководствуясь статьей 10.1 Федерального закона от 27.07.2006 № 152-ФЗ «О персональных данных», заявляю о согласии на распространение подлежащих обработке персональных данных оператором - Автономной некоммерческой организации дополнительного профессионального образования «Техническая академия Росатома» (ОГРН 1174027012830, ИНН 4025450383), зарегистрированной по адресу: Калужская область, г. Обнинск, ул. Курчатова, д. 21, данных с целью________________________в следующем порядке (ответить да/нет)</w:t>
      </w:r>
    </w:p>
    <w:p>
      <w:pPr>
        <w:pStyle w:val="Style36"/>
        <w:tabs>
          <w:tab w:val="clear" w:pos="709"/>
          <w:tab w:val="left" w:pos="0" w:leader="none"/>
        </w:tabs>
        <w:ind w:left="0" w:hanging="0"/>
        <w:rPr>
          <w:sz w:val="24"/>
          <w:szCs w:val="24"/>
        </w:rPr>
      </w:pPr>
      <w:r>
        <w:rPr>
          <w:sz w:val="24"/>
          <w:szCs w:val="24"/>
        </w:rPr>
      </w:r>
    </w:p>
    <w:tbl>
      <w:tblPr>
        <w:tblW w:w="5000" w:type="pct"/>
        <w:jc w:val="left"/>
        <w:tblInd w:w="60" w:type="dxa"/>
        <w:tblLayout w:type="fixed"/>
        <w:tblCellMar>
          <w:top w:w="75" w:type="dxa"/>
          <w:left w:w="75" w:type="dxa"/>
          <w:bottom w:w="75" w:type="dxa"/>
          <w:right w:w="75" w:type="dxa"/>
        </w:tblCellMar>
        <w:tblLook w:val="0600" w:noVBand="1" w:noHBand="1" w:lastColumn="0" w:firstColumn="0" w:lastRow="0" w:firstRow="0"/>
      </w:tblPr>
      <w:tblGrid>
        <w:gridCol w:w="1827"/>
        <w:gridCol w:w="1863"/>
        <w:gridCol w:w="1925"/>
        <w:gridCol w:w="2154"/>
        <w:gridCol w:w="1868"/>
      </w:tblGrid>
      <w:tr>
        <w:trPr/>
        <w:tc>
          <w:tcPr>
            <w:tcW w:w="1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left="-150" w:right="-111" w:hanging="0"/>
              <w:jc w:val="center"/>
              <w:rPr>
                <w:color w:val="000000"/>
                <w:sz w:val="24"/>
                <w:szCs w:val="24"/>
              </w:rPr>
            </w:pPr>
            <w:r>
              <w:rPr>
                <w:color w:val="000000"/>
                <w:sz w:val="24"/>
                <w:szCs w:val="24"/>
              </w:rPr>
              <w:t>Категория персональных данных*</w:t>
            </w:r>
          </w:p>
        </w:tc>
        <w:tc>
          <w:tcPr>
            <w:tcW w:w="1863" w:type="dxa"/>
            <w:tcBorders>
              <w:top w:val="single" w:sz="6" w:space="0" w:color="000000"/>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t>Перечень персональных данных*</w:t>
            </w:r>
          </w:p>
        </w:tc>
        <w:tc>
          <w:tcPr>
            <w:tcW w:w="1925" w:type="dxa"/>
            <w:tcBorders>
              <w:top w:val="single" w:sz="6" w:space="0" w:color="000000"/>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t>Разрешаю к распространению</w:t>
            </w:r>
            <w:r>
              <w:rPr/>
              <w:br/>
            </w:r>
            <w:r>
              <w:rPr>
                <w:color w:val="000000"/>
                <w:sz w:val="24"/>
                <w:szCs w:val="24"/>
              </w:rPr>
              <w:t>(да/нет)</w:t>
            </w:r>
          </w:p>
        </w:tc>
        <w:tc>
          <w:tcPr>
            <w:tcW w:w="2154" w:type="dxa"/>
            <w:tcBorders>
              <w:top w:val="single" w:sz="6" w:space="0" w:color="000000"/>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t>Условия и запреты</w:t>
            </w:r>
          </w:p>
        </w:tc>
        <w:tc>
          <w:tcPr>
            <w:tcW w:w="1868" w:type="dxa"/>
            <w:tcBorders>
              <w:top w:val="single" w:sz="6" w:space="0" w:color="000000"/>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t>Дополнительные условия</w:t>
            </w:r>
          </w:p>
        </w:tc>
      </w:tr>
      <w:tr>
        <w:trPr/>
        <w:tc>
          <w:tcPr>
            <w:tcW w:w="1827" w:type="dxa"/>
            <w:vMerge w:val="restart"/>
            <w:tcBorders>
              <w:left w:val="single" w:sz="6" w:space="0" w:color="000000"/>
              <w:bottom w:val="single" w:sz="6" w:space="0" w:color="000000"/>
              <w:right w:val="single" w:sz="6" w:space="0" w:color="000000"/>
            </w:tcBorders>
            <w:vAlign w:val="center"/>
          </w:tcPr>
          <w:p>
            <w:pPr>
              <w:pStyle w:val="Normal"/>
              <w:widowControl w:val="false"/>
              <w:ind w:left="-150" w:right="-111" w:hanging="0"/>
              <w:jc w:val="center"/>
              <w:rPr>
                <w:color w:val="000000"/>
                <w:sz w:val="24"/>
                <w:szCs w:val="24"/>
              </w:rPr>
            </w:pPr>
            <w:r>
              <w:rPr>
                <w:color w:val="000000"/>
                <w:sz w:val="24"/>
                <w:szCs w:val="24"/>
              </w:rPr>
              <w:t>Персональные данные</w:t>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Фамилия</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Имя</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Отчество</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Год рождения</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jc w:val="center"/>
              <w:rPr>
                <w:sz w:val="24"/>
                <w:szCs w:val="24"/>
              </w:rPr>
            </w:pPr>
            <w:r>
              <w:rPr>
                <w:i/>
                <w:iCs/>
                <w:sz w:val="24"/>
                <w:szCs w:val="24"/>
                <w:u w:val="single"/>
              </w:rPr>
              <w:t>Пример:</w:t>
            </w:r>
            <w:r>
              <w:rPr>
                <w:i/>
                <w:iCs/>
                <w:sz w:val="24"/>
                <w:szCs w:val="24"/>
              </w:rPr>
              <w:t xml:space="preserve"> Только сотрудникам отдела кадров и бухгалтерии</w:t>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Месяц рождения</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jc w:val="center"/>
              <w:rPr>
                <w:i/>
                <w:i/>
                <w:iCs/>
              </w:rPr>
            </w:pPr>
            <w:r>
              <w:rPr>
                <w:i/>
                <w:iCs/>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Дата рождения</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Место рождения</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Адрес</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Семейное положение</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Образование</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jc w:val="center"/>
              <w:rPr/>
            </w:pPr>
            <w:r>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Профессия</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jc w:val="center"/>
              <w:rPr/>
            </w:pPr>
            <w:r>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Социальное положение</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ind w:left="75" w:right="75" w:hanging="0"/>
              <w:jc w:val="center"/>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pPr>
            <w:r>
              <w:rPr>
                <w:color w:val="000000"/>
                <w:sz w:val="24"/>
                <w:szCs w:val="24"/>
              </w:rPr>
              <w:t>Доходы</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pPr>
            <w:r>
              <w:rPr>
                <w:color w:val="000000"/>
                <w:sz w:val="24"/>
                <w:szCs w:val="24"/>
              </w:rPr>
              <w:t>...</w:t>
            </w:r>
          </w:p>
        </w:tc>
        <w:tc>
          <w:tcPr>
            <w:tcW w:w="1925"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restart"/>
            <w:tcBorders>
              <w:left w:val="single" w:sz="6" w:space="0" w:color="000000"/>
              <w:bottom w:val="single" w:sz="6" w:space="0" w:color="000000"/>
              <w:right w:val="single" w:sz="6" w:space="0" w:color="000000"/>
            </w:tcBorders>
            <w:vAlign w:val="center"/>
          </w:tcPr>
          <w:p>
            <w:pPr>
              <w:pStyle w:val="Normal"/>
              <w:widowControl w:val="false"/>
              <w:ind w:left="-150" w:hanging="0"/>
              <w:jc w:val="center"/>
              <w:rPr>
                <w:color w:val="000000"/>
                <w:sz w:val="24"/>
                <w:szCs w:val="24"/>
              </w:rPr>
            </w:pPr>
            <w:r>
              <w:rPr>
                <w:color w:val="000000"/>
                <w:sz w:val="24"/>
                <w:szCs w:val="24"/>
              </w:rPr>
              <w:t>Специальные категории персональных данных</w:t>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Состояние здоровья</w:t>
            </w:r>
          </w:p>
        </w:tc>
        <w:tc>
          <w:tcPr>
            <w:tcW w:w="1925" w:type="dxa"/>
            <w:tcBorders>
              <w:bottom w:val="single" w:sz="6" w:space="0" w:color="000000"/>
              <w:right w:val="single" w:sz="6" w:space="0" w:color="000000"/>
            </w:tcBorders>
            <w:vAlign w:val="center"/>
          </w:tcPr>
          <w:p>
            <w:pPr>
              <w:pStyle w:val="Normal"/>
              <w:widowControl w:val="false"/>
              <w:ind w:left="-150" w:hanging="0"/>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jc w:val="center"/>
              <w:rPr>
                <w:i/>
                <w:i/>
                <w:iCs/>
              </w:rPr>
            </w:pPr>
            <w:r>
              <w:rPr>
                <w:i/>
                <w:iCs/>
                <w:u w:val="single"/>
              </w:rPr>
              <w:t>Пример:</w:t>
            </w:r>
            <w:r>
              <w:rPr>
                <w:i/>
                <w:iCs/>
              </w:rPr>
              <w:t xml:space="preserve"> Только сотрудникам медицинского учреждения</w:t>
            </w:r>
          </w:p>
        </w:tc>
        <w:tc>
          <w:tcPr>
            <w:tcW w:w="1868" w:type="dxa"/>
            <w:tcBorders>
              <w:bottom w:val="single" w:sz="6" w:space="0" w:color="000000"/>
              <w:right w:val="single" w:sz="6" w:space="0" w:color="000000"/>
            </w:tcBorders>
            <w:vAlign w:val="center"/>
          </w:tcPr>
          <w:p>
            <w:pPr>
              <w:pStyle w:val="Normal"/>
              <w:widowControl w:val="false"/>
              <w:ind w:left="-150"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150"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w:t>
            </w:r>
            <w:r>
              <w:rPr>
                <w:color w:val="000000"/>
                <w:sz w:val="24"/>
                <w:szCs w:val="24"/>
              </w:rPr>
              <w:t>.</w:t>
            </w:r>
          </w:p>
        </w:tc>
        <w:tc>
          <w:tcPr>
            <w:tcW w:w="1925" w:type="dxa"/>
            <w:tcBorders>
              <w:bottom w:val="single" w:sz="6" w:space="0" w:color="000000"/>
              <w:right w:val="single" w:sz="6" w:space="0" w:color="000000"/>
            </w:tcBorders>
            <w:vAlign w:val="center"/>
          </w:tcPr>
          <w:p>
            <w:pPr>
              <w:pStyle w:val="Normal"/>
              <w:widowControl w:val="false"/>
              <w:ind w:left="-150" w:hanging="0"/>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ind w:left="-150" w:hanging="0"/>
              <w:jc w:val="center"/>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ind w:left="-150" w:right="75" w:hanging="0"/>
              <w:rPr>
                <w:color w:val="000000"/>
                <w:sz w:val="24"/>
                <w:szCs w:val="24"/>
              </w:rPr>
            </w:pPr>
            <w:r>
              <w:rPr>
                <w:color w:val="000000"/>
                <w:sz w:val="24"/>
                <w:szCs w:val="24"/>
              </w:rPr>
            </w:r>
          </w:p>
        </w:tc>
      </w:tr>
      <w:tr>
        <w:trPr/>
        <w:tc>
          <w:tcPr>
            <w:tcW w:w="1827" w:type="dxa"/>
            <w:vMerge w:val="restart"/>
            <w:tcBorders>
              <w:left w:val="single" w:sz="6" w:space="0" w:color="000000"/>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t>Биометрические персональные данные</w:t>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Цветное цифровое фотографическое изображение лица</w:t>
            </w:r>
          </w:p>
        </w:tc>
        <w:tc>
          <w:tcPr>
            <w:tcW w:w="1925" w:type="dxa"/>
            <w:tcBorders>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r>
        <w:trPr/>
        <w:tc>
          <w:tcPr>
            <w:tcW w:w="1827" w:type="dxa"/>
            <w:vMerge w:val="continue"/>
            <w:tcBorders>
              <w:left w:val="single" w:sz="6" w:space="0" w:color="000000"/>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3"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Видео изображение</w:t>
            </w:r>
          </w:p>
        </w:tc>
        <w:tc>
          <w:tcPr>
            <w:tcW w:w="1925"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2154"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c>
          <w:tcPr>
            <w:tcW w:w="1868" w:type="dxa"/>
            <w:tcBorders>
              <w:bottom w:val="single" w:sz="6" w:space="0" w:color="000000"/>
              <w:right w:val="single" w:sz="6" w:space="0" w:color="000000"/>
            </w:tcBorders>
            <w:vAlign w:val="center"/>
          </w:tcPr>
          <w:p>
            <w:pPr>
              <w:pStyle w:val="Normal"/>
              <w:widowControl w:val="false"/>
              <w:ind w:left="75" w:right="75" w:hanging="0"/>
              <w:rPr>
                <w:color w:val="000000"/>
                <w:sz w:val="24"/>
                <w:szCs w:val="24"/>
              </w:rPr>
            </w:pPr>
            <w:r>
              <w:rPr>
                <w:color w:val="000000"/>
                <w:sz w:val="24"/>
                <w:szCs w:val="24"/>
              </w:rPr>
            </w:r>
          </w:p>
        </w:tc>
      </w:tr>
    </w:tbl>
    <w:p>
      <w:pPr>
        <w:pStyle w:val="Normal"/>
        <w:spacing w:before="280" w:after="280"/>
        <w:jc w:val="both"/>
        <w:rPr>
          <w:color w:val="000000"/>
          <w:sz w:val="24"/>
          <w:szCs w:val="24"/>
        </w:rPr>
      </w:pPr>
      <w:r>
        <w:rPr>
          <w:color w:val="000000"/>
          <w:sz w:val="24"/>
          <w:szCs w:val="24"/>
        </w:rPr>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5000" w:type="pct"/>
        <w:jc w:val="left"/>
        <w:tblInd w:w="60" w:type="dxa"/>
        <w:tblLayout w:type="fixed"/>
        <w:tblCellMar>
          <w:top w:w="75" w:type="dxa"/>
          <w:left w:w="75" w:type="dxa"/>
          <w:bottom w:w="75" w:type="dxa"/>
          <w:right w:w="75" w:type="dxa"/>
        </w:tblCellMar>
        <w:tblLook w:val="0600" w:noVBand="1" w:noHBand="1" w:lastColumn="0" w:firstColumn="0" w:lastRow="0" w:firstRow="0"/>
      </w:tblPr>
      <w:tblGrid>
        <w:gridCol w:w="2866"/>
        <w:gridCol w:w="6770"/>
      </w:tblGrid>
      <w:tr>
        <w:trPr/>
        <w:tc>
          <w:tcPr>
            <w:tcW w:w="2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Информационный ресурс</w:t>
            </w:r>
          </w:p>
        </w:tc>
        <w:tc>
          <w:tcPr>
            <w:tcW w:w="6770" w:type="dxa"/>
            <w:tcBorders>
              <w:top w:val="single" w:sz="6" w:space="0" w:color="000000"/>
              <w:bottom w:val="single" w:sz="6" w:space="0" w:color="000000"/>
              <w:right w:val="single" w:sz="6" w:space="0" w:color="000000"/>
            </w:tcBorders>
            <w:vAlign w:val="center"/>
          </w:tcPr>
          <w:p>
            <w:pPr>
              <w:pStyle w:val="Normal"/>
              <w:widowControl w:val="false"/>
              <w:jc w:val="center"/>
              <w:rPr>
                <w:color w:val="000000"/>
                <w:sz w:val="24"/>
                <w:szCs w:val="24"/>
              </w:rPr>
            </w:pPr>
            <w:r>
              <w:rPr>
                <w:color w:val="000000"/>
                <w:sz w:val="24"/>
                <w:szCs w:val="24"/>
              </w:rPr>
              <w:t>Действия с персональными данными</w:t>
            </w:r>
          </w:p>
        </w:tc>
      </w:tr>
      <w:tr>
        <w:trPr/>
        <w:tc>
          <w:tcPr>
            <w:tcW w:w="2866" w:type="dxa"/>
            <w:tcBorders>
              <w:left w:val="single" w:sz="6" w:space="0" w:color="000000"/>
              <w:bottom w:val="single" w:sz="6" w:space="0" w:color="000000"/>
              <w:right w:val="single" w:sz="6" w:space="0" w:color="000000"/>
            </w:tcBorders>
            <w:vAlign w:val="center"/>
          </w:tcPr>
          <w:p>
            <w:pPr>
              <w:pStyle w:val="Normal"/>
              <w:widowControl w:val="false"/>
              <w:rPr>
                <w:i/>
                <w:i/>
                <w:iCs/>
              </w:rPr>
            </w:pPr>
            <w:r>
              <w:rPr>
                <w:i/>
                <w:iCs/>
              </w:rPr>
            </w:r>
          </w:p>
        </w:tc>
        <w:tc>
          <w:tcPr>
            <w:tcW w:w="6770" w:type="dxa"/>
            <w:tcBorders>
              <w:bottom w:val="single" w:sz="6" w:space="0" w:color="000000"/>
              <w:right w:val="single" w:sz="6" w:space="0" w:color="000000"/>
            </w:tcBorders>
            <w:vAlign w:val="center"/>
          </w:tcPr>
          <w:p>
            <w:pPr>
              <w:pStyle w:val="Normal"/>
              <w:widowControl w:val="false"/>
              <w:rPr>
                <w:i/>
                <w:i/>
                <w:iCs/>
              </w:rPr>
            </w:pPr>
            <w:r>
              <w:rPr>
                <w:i/>
                <w:iCs/>
              </w:rPr>
            </w:r>
          </w:p>
        </w:tc>
      </w:tr>
      <w:tr>
        <w:trPr/>
        <w:tc>
          <w:tcPr>
            <w:tcW w:w="2866" w:type="dxa"/>
            <w:tcBorders>
              <w:left w:val="single" w:sz="6" w:space="0" w:color="000000"/>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w:t>
            </w:r>
          </w:p>
        </w:tc>
        <w:tc>
          <w:tcPr>
            <w:tcW w:w="6770" w:type="dxa"/>
            <w:tcBorders>
              <w:bottom w:val="single" w:sz="6" w:space="0" w:color="000000"/>
              <w:right w:val="single" w:sz="6" w:space="0" w:color="000000"/>
            </w:tcBorders>
            <w:vAlign w:val="center"/>
          </w:tcPr>
          <w:p>
            <w:pPr>
              <w:pStyle w:val="Normal"/>
              <w:widowControl w:val="false"/>
              <w:rPr>
                <w:color w:val="000000"/>
                <w:sz w:val="24"/>
                <w:szCs w:val="24"/>
              </w:rPr>
            </w:pPr>
            <w:r>
              <w:rPr>
                <w:color w:val="000000"/>
                <w:sz w:val="24"/>
                <w:szCs w:val="24"/>
              </w:rPr>
              <w:t>…</w:t>
            </w:r>
          </w:p>
        </w:tc>
      </w:tr>
    </w:tbl>
    <w:p>
      <w:pPr>
        <w:pStyle w:val="Normal"/>
        <w:spacing w:before="280" w:after="280"/>
        <w:jc w:val="both"/>
        <w:rPr>
          <w:color w:val="000000"/>
          <w:sz w:val="24"/>
          <w:szCs w:val="24"/>
        </w:rPr>
      </w:pPr>
      <w:r>
        <w:rPr>
          <w:color w:val="000000"/>
          <w:sz w:val="24"/>
          <w:szCs w:val="24"/>
        </w:rPr>
        <w:t>Настоящее согласие дано мной добровольно и действует со дня его подписания до отзыва в установленном законом порядке.</w:t>
      </w:r>
    </w:p>
    <w:p>
      <w:pPr>
        <w:pStyle w:val="Normal"/>
        <w:spacing w:before="280" w:after="280"/>
        <w:jc w:val="both"/>
        <w:rPr>
          <w:color w:val="000000"/>
          <w:sz w:val="24"/>
          <w:szCs w:val="24"/>
        </w:rPr>
      </w:pPr>
      <w:r>
        <w:rPr>
          <w:color w:val="000000"/>
          <w:sz w:val="24"/>
          <w:szCs w:val="24"/>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left"/>
        <w:tblInd w:w="60" w:type="dxa"/>
        <w:tblLayout w:type="fixed"/>
        <w:tblCellMar>
          <w:top w:w="75" w:type="dxa"/>
          <w:left w:w="75" w:type="dxa"/>
          <w:bottom w:w="75" w:type="dxa"/>
          <w:right w:w="75" w:type="dxa"/>
        </w:tblCellMar>
        <w:tblLook w:val="0600" w:noVBand="1" w:noHBand="1" w:lastColumn="0" w:firstColumn="0" w:lastRow="0" w:firstRow="0"/>
      </w:tblPr>
      <w:tblGrid>
        <w:gridCol w:w="2338"/>
        <w:gridCol w:w="288"/>
        <w:gridCol w:w="2691"/>
        <w:gridCol w:w="287"/>
        <w:gridCol w:w="3685"/>
      </w:tblGrid>
      <w:tr>
        <w:trPr/>
        <w:tc>
          <w:tcPr>
            <w:tcW w:w="2338" w:type="dxa"/>
            <w:tcBorders>
              <w:bottom w:val="single" w:sz="6" w:space="0" w:color="000000"/>
            </w:tcBorders>
            <w:vAlign w:val="bottom"/>
          </w:tcPr>
          <w:p>
            <w:pPr>
              <w:pStyle w:val="Normal"/>
              <w:widowControl w:val="false"/>
              <w:jc w:val="center"/>
              <w:rPr>
                <w:color w:val="000000"/>
                <w:sz w:val="24"/>
                <w:szCs w:val="24"/>
              </w:rPr>
            </w:pPr>
            <w:r>
              <w:rPr>
                <w:color w:val="000000"/>
                <w:sz w:val="24"/>
                <w:szCs w:val="24"/>
              </w:rPr>
            </w:r>
          </w:p>
        </w:tc>
        <w:tc>
          <w:tcPr>
            <w:tcW w:w="288" w:type="dxa"/>
            <w:tcBorders/>
            <w:vAlign w:val="bottom"/>
          </w:tcPr>
          <w:p>
            <w:pPr>
              <w:pStyle w:val="Normal"/>
              <w:widowControl w:val="false"/>
              <w:ind w:left="75" w:right="75" w:hanging="0"/>
              <w:jc w:val="center"/>
              <w:rPr>
                <w:color w:val="000000"/>
                <w:sz w:val="24"/>
                <w:szCs w:val="24"/>
              </w:rPr>
            </w:pPr>
            <w:r>
              <w:rPr>
                <w:color w:val="000000"/>
                <w:sz w:val="24"/>
                <w:szCs w:val="24"/>
              </w:rPr>
            </w:r>
          </w:p>
        </w:tc>
        <w:tc>
          <w:tcPr>
            <w:tcW w:w="2691" w:type="dxa"/>
            <w:tcBorders>
              <w:bottom w:val="single" w:sz="6" w:space="0" w:color="000000"/>
            </w:tcBorders>
            <w:vAlign w:val="bottom"/>
          </w:tcPr>
          <w:p>
            <w:pPr>
              <w:pStyle w:val="Normal"/>
              <w:widowControl w:val="false"/>
              <w:jc w:val="center"/>
              <w:rPr>
                <w:color w:val="000000"/>
                <w:sz w:val="24"/>
                <w:szCs w:val="24"/>
              </w:rPr>
            </w:pPr>
            <w:r>
              <w:rPr>
                <w:color w:val="000000"/>
                <w:sz w:val="24"/>
                <w:szCs w:val="24"/>
              </w:rPr>
            </w:r>
          </w:p>
        </w:tc>
        <w:tc>
          <w:tcPr>
            <w:tcW w:w="287" w:type="dxa"/>
            <w:tcBorders/>
            <w:vAlign w:val="bottom"/>
          </w:tcPr>
          <w:p>
            <w:pPr>
              <w:pStyle w:val="Normal"/>
              <w:widowControl w:val="false"/>
              <w:ind w:left="75" w:right="75" w:hanging="0"/>
              <w:jc w:val="center"/>
              <w:rPr>
                <w:color w:val="000000"/>
                <w:sz w:val="24"/>
                <w:szCs w:val="24"/>
              </w:rPr>
            </w:pPr>
            <w:r>
              <w:rPr>
                <w:color w:val="000000"/>
                <w:sz w:val="24"/>
                <w:szCs w:val="24"/>
              </w:rPr>
            </w:r>
          </w:p>
        </w:tc>
        <w:tc>
          <w:tcPr>
            <w:tcW w:w="3685" w:type="dxa"/>
            <w:tcBorders>
              <w:bottom w:val="single" w:sz="6" w:space="0" w:color="000000"/>
            </w:tcBorders>
            <w:vAlign w:val="bottom"/>
          </w:tcPr>
          <w:p>
            <w:pPr>
              <w:pStyle w:val="Normal"/>
              <w:widowControl w:val="false"/>
              <w:jc w:val="center"/>
              <w:rPr>
                <w:color w:val="000000"/>
                <w:sz w:val="24"/>
                <w:szCs w:val="24"/>
              </w:rPr>
            </w:pPr>
            <w:r>
              <w:rPr>
                <w:color w:val="000000"/>
                <w:sz w:val="24"/>
                <w:szCs w:val="24"/>
              </w:rPr>
            </w:r>
          </w:p>
        </w:tc>
      </w:tr>
      <w:tr>
        <w:trPr/>
        <w:tc>
          <w:tcPr>
            <w:tcW w:w="2338" w:type="dxa"/>
            <w:tcBorders>
              <w:top w:val="single" w:sz="6" w:space="0" w:color="000000"/>
            </w:tcBorders>
            <w:vAlign w:val="bottom"/>
          </w:tcPr>
          <w:p>
            <w:pPr>
              <w:pStyle w:val="Normal"/>
              <w:widowControl w:val="false"/>
              <w:jc w:val="center"/>
              <w:rPr>
                <w:sz w:val="24"/>
                <w:szCs w:val="24"/>
              </w:rPr>
            </w:pPr>
            <w:r>
              <w:rPr>
                <w:color w:val="000000"/>
                <w:sz w:val="24"/>
                <w:szCs w:val="24"/>
                <w:vertAlign w:val="superscript"/>
              </w:rPr>
              <w:t>(дата)</w:t>
            </w:r>
          </w:p>
        </w:tc>
        <w:tc>
          <w:tcPr>
            <w:tcW w:w="288" w:type="dxa"/>
            <w:tcBorders/>
            <w:vAlign w:val="bottom"/>
          </w:tcPr>
          <w:p>
            <w:pPr>
              <w:pStyle w:val="Normal"/>
              <w:widowControl w:val="false"/>
              <w:ind w:left="75" w:right="75" w:hanging="0"/>
              <w:jc w:val="center"/>
              <w:rPr>
                <w:color w:val="000000"/>
                <w:sz w:val="24"/>
                <w:szCs w:val="24"/>
              </w:rPr>
            </w:pPr>
            <w:r>
              <w:rPr>
                <w:color w:val="000000"/>
                <w:sz w:val="24"/>
                <w:szCs w:val="24"/>
              </w:rPr>
            </w:r>
          </w:p>
        </w:tc>
        <w:tc>
          <w:tcPr>
            <w:tcW w:w="2691" w:type="dxa"/>
            <w:tcBorders>
              <w:top w:val="single" w:sz="6" w:space="0" w:color="000000"/>
            </w:tcBorders>
            <w:vAlign w:val="bottom"/>
          </w:tcPr>
          <w:p>
            <w:pPr>
              <w:pStyle w:val="Normal"/>
              <w:widowControl w:val="false"/>
              <w:jc w:val="center"/>
              <w:rPr>
                <w:sz w:val="24"/>
                <w:szCs w:val="24"/>
              </w:rPr>
            </w:pPr>
            <w:r>
              <w:rPr>
                <w:color w:val="000000"/>
                <w:sz w:val="24"/>
                <w:szCs w:val="24"/>
                <w:vertAlign w:val="superscript"/>
              </w:rPr>
              <w:t>(подпись)</w:t>
            </w:r>
          </w:p>
        </w:tc>
        <w:tc>
          <w:tcPr>
            <w:tcW w:w="287" w:type="dxa"/>
            <w:tcBorders/>
            <w:vAlign w:val="bottom"/>
          </w:tcPr>
          <w:p>
            <w:pPr>
              <w:pStyle w:val="Normal"/>
              <w:widowControl w:val="false"/>
              <w:ind w:left="75" w:right="75" w:hanging="0"/>
              <w:jc w:val="center"/>
              <w:rPr>
                <w:color w:val="000000"/>
                <w:sz w:val="24"/>
                <w:szCs w:val="24"/>
              </w:rPr>
            </w:pPr>
            <w:r>
              <w:rPr>
                <w:color w:val="000000"/>
                <w:sz w:val="24"/>
                <w:szCs w:val="24"/>
              </w:rPr>
            </w:r>
          </w:p>
        </w:tc>
        <w:tc>
          <w:tcPr>
            <w:tcW w:w="3685" w:type="dxa"/>
            <w:tcBorders>
              <w:top w:val="single" w:sz="6" w:space="0" w:color="000000"/>
            </w:tcBorders>
            <w:vAlign w:val="bottom"/>
          </w:tcPr>
          <w:p>
            <w:pPr>
              <w:pStyle w:val="Normal"/>
              <w:widowControl w:val="false"/>
              <w:jc w:val="center"/>
              <w:rPr>
                <w:sz w:val="24"/>
                <w:szCs w:val="24"/>
              </w:rPr>
            </w:pPr>
            <w:r>
              <w:rPr>
                <w:color w:val="000000"/>
                <w:sz w:val="24"/>
                <w:szCs w:val="24"/>
                <w:vertAlign w:val="superscript"/>
              </w:rPr>
              <w:t>(расшифровка подписи)</w:t>
            </w:r>
          </w:p>
        </w:tc>
      </w:tr>
    </w:tbl>
    <w:p>
      <w:pPr>
        <w:pStyle w:val="Normal"/>
        <w:suppressAutoHyphens w:val="true"/>
        <w:spacing w:before="0" w:after="960"/>
        <w:rPr>
          <w:b/>
          <w:b/>
          <w:iCs/>
          <w:szCs w:val="24"/>
        </w:rPr>
      </w:pPr>
      <w:r>
        <w:rPr>
          <w:b/>
          <w:iCs/>
          <w:szCs w:val="24"/>
        </w:rPr>
      </w:r>
    </w:p>
    <w:p>
      <w:pPr>
        <w:pStyle w:val="Normal"/>
        <w:suppressAutoHyphens w:val="true"/>
        <w:rPr>
          <w:sz w:val="24"/>
          <w:szCs w:val="24"/>
        </w:rPr>
      </w:pPr>
      <w:r>
        <w:rPr>
          <w:b/>
          <w:iCs/>
          <w:sz w:val="24"/>
          <w:szCs w:val="24"/>
        </w:rPr>
        <w:t>*</w:t>
      </w:r>
      <w:r>
        <w:rPr>
          <w:iCs/>
          <w:sz w:val="24"/>
          <w:szCs w:val="24"/>
        </w:rPr>
        <w:t xml:space="preserve"> Выбрать необходимое, не нужное из формы удалить. </w:t>
      </w:r>
      <w:r>
        <w:br w:type="page"/>
      </w:r>
    </w:p>
    <w:p>
      <w:pPr>
        <w:pStyle w:val="24"/>
        <w:rPr/>
      </w:pPr>
      <w:bookmarkStart w:id="110" w:name="_Toc145919160"/>
      <w:bookmarkStart w:id="111" w:name="_Ref150243768"/>
      <w:r>
        <w:rPr/>
        <w:t>Приложение № </w:t>
      </w:r>
      <w:r>
        <w:rPr/>
        <w:fldChar w:fldCharType="begin"/>
      </w:r>
      <w:r>
        <w:rPr/>
        <w:instrText xml:space="preserve"> SEQ Приложение_№ \* ARABIC </w:instrText>
      </w:r>
      <w:r>
        <w:rPr/>
        <w:fldChar w:fldCharType="separate"/>
      </w:r>
      <w:r>
        <w:rPr/>
        <w:t>6</w:t>
      </w:r>
      <w:r>
        <w:rPr/>
        <w:fldChar w:fldCharType="end"/>
      </w:r>
      <w:bookmarkEnd w:id="111"/>
    </w:p>
    <w:p>
      <w:pPr>
        <w:pStyle w:val="Style32"/>
        <w:rPr/>
      </w:pPr>
      <w:bookmarkStart w:id="112" w:name="_Toc145919160"/>
      <w:bookmarkStart w:id="113" w:name="_Toc150263830"/>
      <w:r>
        <w:rPr/>
        <w:t>Форма разъяснения субъекту персональных данных юридических последствий отказа предоставить свои персональные данные</w:t>
      </w:r>
      <w:bookmarkEnd w:id="112"/>
      <w:bookmarkEnd w:id="113"/>
    </w:p>
    <w:p>
      <w:pPr>
        <w:pStyle w:val="Normal"/>
        <w:jc w:val="center"/>
        <w:rPr>
          <w:color w:val="000000"/>
        </w:rPr>
      </w:pPr>
      <w:r>
        <w:rPr>
          <w:b/>
          <w:color w:val="000000"/>
        </w:rPr>
        <w:t>О разъяснении субъекту персональных данных юридических последствий отказа предоставить свои персональные данные</w:t>
      </w:r>
    </w:p>
    <w:p>
      <w:pPr>
        <w:pStyle w:val="Normal"/>
        <w:ind w:left="125" w:right="115" w:hanging="10"/>
        <w:rPr>
          <w:color w:val="000000"/>
        </w:rPr>
      </w:pPr>
      <w:r>
        <w:rPr>
          <w:color w:val="000000"/>
          <w:szCs w:val="28"/>
        </w:rPr>
        <w:t>Мне,_</w:t>
      </w:r>
      <w:r>
        <w:rPr>
          <w:color w:val="000000"/>
          <w:szCs w:val="28"/>
          <w:u w:val="single"/>
        </w:rPr>
        <w:t>___________________________________________________________</w:t>
      </w:r>
    </w:p>
    <w:p>
      <w:pPr>
        <w:pStyle w:val="Normal"/>
        <w:ind w:left="14" w:right="1764" w:firstLine="695"/>
        <w:rPr>
          <w:color w:val="000000"/>
        </w:rPr>
      </w:pPr>
      <w:r>
        <w:rPr>
          <w:color w:val="000000"/>
          <w:szCs w:val="28"/>
        </w:rPr>
        <w:t>(фамилия, имя, отчество), проживающему(ей) по адресу: ________________________________________________________</w:t>
      </w:r>
    </w:p>
    <w:p>
      <w:pPr>
        <w:pStyle w:val="Normal"/>
        <w:ind w:left="993" w:right="1764" w:hanging="0"/>
        <w:rPr>
          <w:color w:val="000000"/>
        </w:rPr>
      </w:pPr>
      <w:r>
        <w:rPr>
          <w:color w:val="000000"/>
          <w:szCs w:val="28"/>
        </w:rPr>
        <w:t>(</w:t>
      </w:r>
      <w:r>
        <w:rPr>
          <w:i/>
          <w:color w:val="000000"/>
          <w:szCs w:val="28"/>
        </w:rPr>
        <w:t>указать адрес места жительства по паспорту</w:t>
      </w:r>
      <w:r>
        <w:rPr>
          <w:color w:val="000000"/>
          <w:szCs w:val="28"/>
        </w:rPr>
        <w:t>)</w:t>
      </w:r>
    </w:p>
    <w:p>
      <w:pPr>
        <w:pStyle w:val="Normal"/>
        <w:ind w:left="14" w:right="202" w:firstLine="4"/>
        <w:jc w:val="both"/>
        <w:rPr>
          <w:color w:val="000000"/>
        </w:rPr>
      </w:pPr>
      <w:r>
        <w:rPr>
          <w:color w:val="000000"/>
          <w:szCs w:val="28"/>
        </w:rPr>
        <w:t>в соответствии с частью 2 статьи 18 Федерального закона от 27 июля 2006 г. № 152-ФЗ «О персональных данных» разъяснены юридические последствия отказа в предоставлении своих персональных данных, предусмотренных_______</w:t>
      </w:r>
      <w:r>
        <w:rPr>
          <w:rStyle w:val="Style15"/>
          <w:color w:val="000000"/>
          <w:sz w:val="40"/>
          <w:szCs w:val="40"/>
        </w:rPr>
        <w:footnoteReference w:id="4"/>
      </w:r>
      <w:r>
        <w:rPr>
          <w:color w:val="000000"/>
          <w:szCs w:val="28"/>
        </w:rPr>
        <w:t>. К юридическим последствиям относятся</w:t>
      </w:r>
      <w:r>
        <w:rPr>
          <w:color w:val="000000"/>
          <w:szCs w:val="28"/>
          <w:u w:val="single"/>
        </w:rPr>
        <w:t>__________________________</w:t>
      </w:r>
      <w:r>
        <w:rPr>
          <w:color w:val="000000"/>
          <w:szCs w:val="28"/>
        </w:rPr>
        <w:t>_**.</w:t>
      </w:r>
    </w:p>
    <w:p>
      <w:pPr>
        <w:pStyle w:val="Normal"/>
        <w:ind w:left="14" w:right="202" w:firstLine="4"/>
        <w:rPr>
          <w:color w:val="000000"/>
          <w:sz w:val="22"/>
          <w:szCs w:val="22"/>
        </w:rPr>
      </w:pPr>
      <w:r>
        <w:rPr>
          <w:color w:val="000000"/>
          <w:sz w:val="22"/>
          <w:szCs w:val="22"/>
        </w:rPr>
      </w:r>
    </w:p>
    <w:p>
      <w:pPr>
        <w:sectPr>
          <w:headerReference w:type="default" r:id="rId30"/>
          <w:footerReference w:type="default" r:id="rId31"/>
          <w:footnotePr>
            <w:numFmt w:val="chicago"/>
            <w:numRestart w:val="eachSect"/>
          </w:footnotePr>
          <w:type w:val="nextPage"/>
          <w:pgSz w:w="11906" w:h="16838"/>
          <w:pgMar w:left="1418" w:right="851" w:gutter="0" w:header="567" w:top="1559" w:footer="567" w:bottom="709"/>
          <w:pgNumType w:fmt="decimal"/>
          <w:formProt w:val="false"/>
          <w:textDirection w:val="lrTb"/>
          <w:docGrid w:type="default" w:linePitch="381" w:charSpace="0"/>
        </w:sectPr>
      </w:pPr>
    </w:p>
    <w:p>
      <w:pPr>
        <w:pStyle w:val="Normal"/>
        <w:suppressAutoHyphens w:val="true"/>
        <w:rPr>
          <w:b/>
          <w:b/>
          <w:iCs/>
          <w:color w:val="000000"/>
          <w:sz w:val="32"/>
          <w:szCs w:val="24"/>
          <w:u w:val="none" w:color="FFFFFF"/>
        </w:rPr>
      </w:pPr>
      <w:r>
        <w:rPr>
          <w:b/>
          <w:iCs/>
          <w:color w:val="000000"/>
          <w:sz w:val="32"/>
          <w:szCs w:val="24"/>
          <w:u w:val="none" w:color="FFFFFF"/>
        </w:rPr>
      </w:r>
    </w:p>
    <w:p>
      <w:pPr>
        <w:sectPr>
          <w:footnotePr>
            <w:numFmt w:val="chicago"/>
            <w:numRestart w:val="eachSect"/>
          </w:footnotePr>
          <w:type w:val="continuous"/>
          <w:pgSz w:w="11906" w:h="16838"/>
          <w:pgMar w:left="1418" w:right="851" w:gutter="0" w:header="567" w:top="1559" w:footer="567" w:bottom="709"/>
          <w:formProt w:val="false"/>
          <w:textDirection w:val="lrTb"/>
          <w:docGrid w:type="default" w:linePitch="381" w:charSpace="0"/>
        </w:sectPr>
      </w:pPr>
      <w:r>
        <w:br w:type="page"/>
      </w:r>
    </w:p>
    <w:p>
      <w:pPr>
        <w:pStyle w:val="24"/>
        <w:rPr/>
      </w:pPr>
      <w:bookmarkStart w:id="114" w:name="_Toc1005889481"/>
      <w:bookmarkStart w:id="115" w:name="_Toc145919161"/>
      <w:bookmarkStart w:id="116" w:name="_Ref150243815"/>
      <w:r>
        <w:rPr/>
        <w:t>Приложение № </w:t>
      </w:r>
      <w:r>
        <w:rPr/>
        <w:fldChar w:fldCharType="begin"/>
      </w:r>
      <w:r>
        <w:rPr/>
        <w:instrText xml:space="preserve"> SEQ Приложение_№ \* ARABIC </w:instrText>
      </w:r>
      <w:r>
        <w:rPr/>
        <w:fldChar w:fldCharType="separate"/>
      </w:r>
      <w:r>
        <w:rPr/>
        <w:t>7</w:t>
      </w:r>
      <w:r>
        <w:rPr/>
        <w:fldChar w:fldCharType="end"/>
      </w:r>
      <w:bookmarkEnd w:id="116"/>
    </w:p>
    <w:p>
      <w:pPr>
        <w:pStyle w:val="Style32"/>
        <w:rPr>
          <w:color w:val="000000"/>
        </w:rPr>
      </w:pPr>
      <w:bookmarkStart w:id="117" w:name="_Toc1005889481"/>
      <w:bookmarkStart w:id="118" w:name="_Toc145919161"/>
      <w:bookmarkStart w:id="119" w:name="_Toc150263831"/>
      <w:r>
        <w:rPr>
          <w:color w:val="000000"/>
        </w:rPr>
        <w:t>Форма соглашения о конфиденциальности и неразглашении информации, содержащей сведения, составляющие персональные данные</w:t>
      </w:r>
      <w:bookmarkEnd w:id="117"/>
      <w:bookmarkEnd w:id="118"/>
      <w:bookmarkEnd w:id="119"/>
    </w:p>
    <w:p>
      <w:pPr>
        <w:pStyle w:val="Normal"/>
        <w:jc w:val="center"/>
        <w:rPr>
          <w:color w:val="000000"/>
        </w:rPr>
      </w:pPr>
      <w:r>
        <w:rPr>
          <w:b/>
          <w:color w:val="000000"/>
        </w:rPr>
        <w:t>СОГЛАШЕНИЕ</w:t>
      </w:r>
    </w:p>
    <w:p>
      <w:pPr>
        <w:pStyle w:val="Normal"/>
        <w:jc w:val="center"/>
        <w:rPr>
          <w:color w:val="000000"/>
        </w:rPr>
      </w:pPr>
      <w:r>
        <w:rPr>
          <w:b/>
          <w:color w:val="000000"/>
        </w:rPr>
        <w:t>о конфиденциальности и неразглашении информации, содержащей сведения, составляющие персональные данные переданной в рамках заключенного Договора №___ от «___»______20___</w:t>
      </w:r>
    </w:p>
    <w:p>
      <w:pPr>
        <w:pStyle w:val="Normal"/>
        <w:tabs>
          <w:tab w:val="clear" w:pos="720"/>
          <w:tab w:val="left" w:pos="709" w:leader="none"/>
          <w:tab w:val="center" w:pos="1595" w:leader="none"/>
          <w:tab w:val="right" w:pos="10017" w:leader="none"/>
        </w:tabs>
        <w:spacing w:lineRule="auto" w:line="264" w:before="0" w:after="5"/>
        <w:rPr>
          <w:color w:val="000000"/>
        </w:rPr>
      </w:pPr>
      <w:r>
        <w:rPr>
          <w:color w:val="000000"/>
          <w:sz w:val="24"/>
        </w:rPr>
        <w:t>г. Обнинск</w:t>
        <w:tab/>
        <w:t xml:space="preserve"> «___» ____________ 20__ года </w:t>
      </w:r>
    </w:p>
    <w:p>
      <w:pPr>
        <w:pStyle w:val="Normal"/>
        <w:tabs>
          <w:tab w:val="clear" w:pos="720"/>
          <w:tab w:val="left" w:pos="0" w:leader="none"/>
        </w:tabs>
        <w:spacing w:lineRule="auto" w:line="264" w:before="0" w:after="51"/>
        <w:ind w:right="52" w:hanging="0"/>
        <w:jc w:val="both"/>
        <w:rPr>
          <w:color w:val="000000"/>
        </w:rPr>
      </w:pPr>
      <w:r>
        <w:rPr>
          <w:color w:val="000000"/>
          <w:sz w:val="24"/>
        </w:rPr>
        <w:t>_____________________________________________________________,</w:t>
      </w:r>
      <w:r>
        <w:rPr>
          <w:b/>
          <w:color w:val="000000"/>
          <w:sz w:val="24"/>
        </w:rPr>
        <w:t xml:space="preserve"> </w:t>
      </w:r>
      <w:r>
        <w:rPr>
          <w:color w:val="000000"/>
          <w:sz w:val="24"/>
        </w:rPr>
        <w:t>именуемое в дальнейшем «Принимающая сторона», в лице ___________________________________, действующ___ на основании ______________________, с одной стороны и ________________________________, именуемое в дальнейшем «Раскрывающая сторона», в лице _____________________________________, действующ___ на основании _________, с другой стороны, вместе именуемые «Стороны», заключили настоящее Соглашение</w:t>
        <w:br/>
        <w:t xml:space="preserve">(далее – Соглашение) о нижеследующем: </w:t>
      </w:r>
    </w:p>
    <w:p>
      <w:pPr>
        <w:pStyle w:val="Normal"/>
        <w:jc w:val="center"/>
        <w:rPr>
          <w:color w:val="000000"/>
        </w:rPr>
      </w:pPr>
      <w:r>
        <w:rPr>
          <w:b/>
          <w:color w:val="000000"/>
        </w:rPr>
        <w:t>I. ТЕРМИНЫ И ПОНЯТИЯ, ИСПОЛЬЗУЕМЫЕ В СОГЛАШЕНИИ</w:t>
      </w:r>
    </w:p>
    <w:p>
      <w:pPr>
        <w:pStyle w:val="Normal"/>
        <w:numPr>
          <w:ilvl w:val="1"/>
          <w:numId w:val="4"/>
        </w:numPr>
        <w:tabs>
          <w:tab w:val="clear" w:pos="720"/>
          <w:tab w:val="left" w:pos="426" w:leader="none"/>
        </w:tabs>
        <w:spacing w:lineRule="auto" w:line="264" w:before="0" w:after="5"/>
        <w:ind w:right="52" w:hanging="0"/>
        <w:rPr>
          <w:color w:val="000000"/>
        </w:rPr>
      </w:pPr>
      <w:r>
        <w:rPr>
          <w:color w:val="000000"/>
          <w:sz w:val="24"/>
        </w:rPr>
        <w:t>Для целей Соглашения следующие термины и понятия имеют указанные ниже значения:</w:t>
      </w:r>
      <w:r>
        <w:rPr>
          <w:i/>
          <w:color w:val="000000"/>
          <w:sz w:val="24"/>
        </w:rPr>
        <w:t xml:space="preserve"> </w:t>
      </w:r>
    </w:p>
    <w:p>
      <w:pPr>
        <w:pStyle w:val="3"/>
        <w:numPr>
          <w:ilvl w:val="2"/>
          <w:numId w:val="9"/>
        </w:numPr>
        <w:tabs>
          <w:tab w:val="clear" w:pos="720"/>
          <w:tab w:val="left" w:pos="709" w:leader="none"/>
        </w:tabs>
        <w:ind w:left="0" w:hanging="0"/>
        <w:rPr>
          <w:rFonts w:cs="Times New Roman"/>
          <w:color w:val="000000"/>
        </w:rPr>
      </w:pPr>
      <w:r>
        <w:rPr>
          <w:rFonts w:cs="Times New Roman"/>
          <w:color w:val="000000"/>
          <w:sz w:val="24"/>
          <w:szCs w:val="24"/>
        </w:rPr>
        <w:t xml:space="preserve">«Аффилированное лицо» (в отношении любой из Сторон) – любое физическое или юридическое лицо, которое прямо или косвенно контролирует Сторону, находится под контролем Стороны либо находится со Стороной под общим контролем, а также любое физическое или юридическое лицо, которое может быть признано Аффилированным лицом в соответствии с законодательством Российской Федерации. Под «контролем» для целей настоящего Соглашения понимается возможность прямо или косвенно (в силу преобладающего участия в уставном капитале, либо в соответствии с заключенным между ними договором, либо участия в органах управления, либо иным образом) определять решения, принимаемые подконтрольным лицом. </w:t>
      </w:r>
    </w:p>
    <w:p>
      <w:pPr>
        <w:pStyle w:val="3"/>
        <w:numPr>
          <w:ilvl w:val="2"/>
          <w:numId w:val="37"/>
        </w:numPr>
        <w:tabs>
          <w:tab w:val="clear" w:pos="720"/>
          <w:tab w:val="left" w:pos="709" w:leader="none"/>
        </w:tabs>
        <w:ind w:left="0" w:hanging="0"/>
        <w:rPr>
          <w:rFonts w:cs="Times New Roman"/>
          <w:color w:val="000000"/>
        </w:rPr>
      </w:pPr>
      <w:r>
        <w:rPr>
          <w:rFonts w:cs="Times New Roman"/>
          <w:color w:val="000000"/>
          <w:sz w:val="24"/>
        </w:rPr>
        <w:t>«</w:t>
      </w:r>
      <w:r>
        <w:rPr>
          <w:rFonts w:cs="Times New Roman"/>
          <w:color w:val="000000"/>
          <w:sz w:val="24"/>
          <w:szCs w:val="24"/>
        </w:rPr>
        <w:t xml:space="preserve">Персональные данные» (далее – ПДн) – любая информация, относящаяся к определенному или определяемому на основании такой информации физическому лицу (субъекту персональных данных). </w:t>
      </w:r>
    </w:p>
    <w:p>
      <w:pPr>
        <w:pStyle w:val="3"/>
        <w:numPr>
          <w:ilvl w:val="2"/>
          <w:numId w:val="38"/>
        </w:numPr>
        <w:tabs>
          <w:tab w:val="clear" w:pos="720"/>
          <w:tab w:val="left" w:pos="709" w:leader="none"/>
        </w:tabs>
        <w:ind w:left="0" w:hanging="0"/>
        <w:rPr>
          <w:rFonts w:cs="Times New Roman"/>
          <w:color w:val="000000"/>
        </w:rPr>
      </w:pPr>
      <w:r>
        <w:rPr>
          <w:rFonts w:cs="Times New Roman"/>
          <w:color w:val="000000"/>
          <w:sz w:val="24"/>
          <w:szCs w:val="24"/>
        </w:rPr>
        <w:t xml:space="preserve">«Принимающая сторона» – Сторона по настоящему Соглашению, получающая информацию, содержащую сведения, составляющие ПДн или доступ к такой информации от Раскрывающей стороны в порядке и на условиях, предусмотренных настоящим Соглашением. </w:t>
      </w:r>
    </w:p>
    <w:p>
      <w:pPr>
        <w:pStyle w:val="3"/>
        <w:numPr>
          <w:ilvl w:val="2"/>
          <w:numId w:val="39"/>
        </w:numPr>
        <w:tabs>
          <w:tab w:val="clear" w:pos="720"/>
          <w:tab w:val="left" w:pos="709" w:leader="none"/>
        </w:tabs>
        <w:ind w:left="0" w:hanging="0"/>
        <w:rPr>
          <w:rFonts w:cs="Times New Roman"/>
          <w:color w:val="000000"/>
        </w:rPr>
      </w:pPr>
      <w:r>
        <w:rPr>
          <w:rFonts w:cs="Times New Roman"/>
          <w:color w:val="000000"/>
          <w:sz w:val="24"/>
          <w:szCs w:val="24"/>
        </w:rPr>
        <w:t xml:space="preserve">«Раскрывающая сторона» – Сторона по настоящему Соглашению, являющаяся собственником либо владельцем ПДн и предоставляющая ПДн Принимающей стороне для использования в соответствии с целями настоящего Соглашения. </w:t>
      </w:r>
    </w:p>
    <w:p>
      <w:pPr>
        <w:pStyle w:val="3"/>
        <w:numPr>
          <w:ilvl w:val="2"/>
          <w:numId w:val="40"/>
        </w:numPr>
        <w:tabs>
          <w:tab w:val="clear" w:pos="720"/>
          <w:tab w:val="left" w:pos="709" w:leader="none"/>
        </w:tabs>
        <w:ind w:left="0" w:hanging="0"/>
        <w:rPr>
          <w:rFonts w:cs="Times New Roman"/>
          <w:color w:val="000000"/>
        </w:rPr>
      </w:pPr>
      <w:r>
        <w:rPr>
          <w:rFonts w:cs="Times New Roman"/>
          <w:color w:val="000000"/>
          <w:sz w:val="24"/>
          <w:szCs w:val="24"/>
        </w:rPr>
        <w:t xml:space="preserve">«Разглашение персональных данных» </w:t>
      </w:r>
      <w:r>
        <w:rPr>
          <w:rFonts w:cs="Times New Roman"/>
          <w:color w:val="000000"/>
          <w:sz w:val="24"/>
        </w:rPr>
        <w:t>–</w:t>
      </w:r>
      <w:r>
        <w:rPr>
          <w:rFonts w:cs="Times New Roman"/>
          <w:color w:val="000000"/>
          <w:sz w:val="24"/>
          <w:szCs w:val="24"/>
        </w:rPr>
        <w:t xml:space="preserve"> несанкционированные Раскрывающей стороной действия Принимающей стороны, в результате которых Третьи лица получают возможность ознакомления с ПДн. Разглашением ПДн признается также бездействие Принимающей стороны, выразившееся в необеспечении надлежащего уровня защиты полученных от Раскрывающей стороны ПДн и повлекшее получение доступа к такой информации со стороны третьих лиц. </w:t>
      </w:r>
    </w:p>
    <w:p>
      <w:pPr>
        <w:pStyle w:val="3"/>
        <w:numPr>
          <w:ilvl w:val="2"/>
          <w:numId w:val="41"/>
        </w:numPr>
        <w:tabs>
          <w:tab w:val="clear" w:pos="720"/>
          <w:tab w:val="left" w:pos="709" w:leader="none"/>
        </w:tabs>
        <w:ind w:left="0" w:hanging="0"/>
        <w:rPr>
          <w:rFonts w:cs="Times New Roman"/>
          <w:color w:val="000000"/>
        </w:rPr>
      </w:pPr>
      <w:r>
        <w:rPr>
          <w:rFonts w:cs="Times New Roman"/>
          <w:color w:val="000000"/>
          <w:sz w:val="24"/>
          <w:szCs w:val="24"/>
        </w:rPr>
        <w:t xml:space="preserve">«Третьи лица» – юридические лица, не являющиеся Сторонами, их Аффилироваными лицами, а также физические лица, не являющиеся аффилированными по отношению к Сторонам либо не состоящие со Сторонами и/или их Аффилированными лицами в трудовых отношениях. </w:t>
      </w:r>
    </w:p>
    <w:p>
      <w:pPr>
        <w:pStyle w:val="3"/>
        <w:numPr>
          <w:ilvl w:val="2"/>
          <w:numId w:val="42"/>
        </w:numPr>
        <w:tabs>
          <w:tab w:val="clear" w:pos="720"/>
          <w:tab w:val="left" w:pos="709" w:leader="none"/>
        </w:tabs>
        <w:ind w:left="0" w:hanging="0"/>
        <w:rPr>
          <w:rFonts w:cs="Times New Roman"/>
          <w:color w:val="000000"/>
        </w:rPr>
      </w:pPr>
      <w:r>
        <w:rPr>
          <w:rFonts w:cs="Times New Roman"/>
          <w:color w:val="000000"/>
          <w:sz w:val="24"/>
          <w:szCs w:val="24"/>
        </w:rPr>
        <w:t>«Цель Соглашения» – соблюдение Сторонами строгой конфиденциальности в отношении ПДн, которые будут в электронном или письменном виде переданы одной Стороной другой Стороне в связи с сотрудничеством между Сторонами в рамках Договора от</w:t>
      </w:r>
      <w:r>
        <w:rPr>
          <w:rFonts w:cs="Times New Roman"/>
          <w:color w:val="000000"/>
          <w:sz w:val="24"/>
        </w:rPr>
        <w:t xml:space="preserve"> «___» _______20__ г.</w:t>
      </w:r>
    </w:p>
    <w:p>
      <w:pPr>
        <w:pStyle w:val="Style36"/>
        <w:rPr>
          <w:color w:val="000000"/>
        </w:rPr>
      </w:pPr>
      <w:r>
        <w:rPr>
          <w:b/>
          <w:color w:val="000000"/>
        </w:rPr>
        <w:t>II. ПЕРЕДАЧА И ЗАЩИТА ПЕРСОНАЛЬНЫХ ДАННЫХ</w:t>
      </w:r>
    </w:p>
    <w:p>
      <w:pPr>
        <w:pStyle w:val="Normal"/>
        <w:numPr>
          <w:ilvl w:val="1"/>
          <w:numId w:val="4"/>
        </w:numPr>
        <w:tabs>
          <w:tab w:val="clear" w:pos="720"/>
          <w:tab w:val="left" w:pos="426" w:leader="none"/>
        </w:tabs>
        <w:spacing w:lineRule="auto" w:line="264" w:before="0" w:after="5"/>
        <w:ind w:right="52" w:hanging="0"/>
        <w:jc w:val="both"/>
        <w:rPr>
          <w:color w:val="000000"/>
        </w:rPr>
      </w:pPr>
      <w:r>
        <w:rPr>
          <w:color w:val="000000"/>
          <w:sz w:val="24"/>
        </w:rPr>
        <w:t xml:space="preserve">Передача ПДн осуществляется Раскрывающей стороной Принимающей стороне путем передачи информации, помеченной Раскрывающей стороной грифом «Персональные данные», на бумажном либо электронном носителе, а также любым иным, согласованным Сторонами способом передачи информации, позволяющим обеспечить конфиденциальность передаваемой информации, а также подтвердить факт передачи ПДн Раскрывающей стороной и факт получения такой информации Принимающей стороной. </w:t>
      </w:r>
    </w:p>
    <w:p>
      <w:pPr>
        <w:pStyle w:val="Normal"/>
        <w:numPr>
          <w:ilvl w:val="1"/>
          <w:numId w:val="4"/>
        </w:numPr>
        <w:tabs>
          <w:tab w:val="clear" w:pos="720"/>
          <w:tab w:val="left" w:pos="426" w:leader="none"/>
        </w:tabs>
        <w:spacing w:lineRule="auto" w:line="264" w:before="0" w:after="5"/>
        <w:ind w:right="52" w:hanging="0"/>
        <w:jc w:val="both"/>
        <w:rPr>
          <w:color w:val="000000"/>
        </w:rPr>
      </w:pPr>
      <w:r>
        <w:rPr>
          <w:color w:val="000000"/>
          <w:sz w:val="24"/>
        </w:rPr>
        <w:t xml:space="preserve">Передача информации, содержащей ПДн, должна сопровождаться: </w:t>
      </w:r>
    </w:p>
    <w:p>
      <w:pPr>
        <w:pStyle w:val="Style29"/>
        <w:numPr>
          <w:ilvl w:val="0"/>
          <w:numId w:val="7"/>
        </w:numPr>
        <w:ind w:left="284" w:hanging="284"/>
        <w:rPr>
          <w:color w:val="000000"/>
        </w:rPr>
      </w:pPr>
      <w:r>
        <w:rPr>
          <w:color w:val="000000"/>
          <w:sz w:val="24"/>
          <w:szCs w:val="24"/>
        </w:rPr>
        <w:t xml:space="preserve">в случае передачи информации на бумажных носителях </w:t>
      </w:r>
      <w:r>
        <w:rPr>
          <w:color w:val="000000"/>
          <w:sz w:val="24"/>
        </w:rPr>
        <w:t>–</w:t>
      </w:r>
      <w:r>
        <w:rPr>
          <w:color w:val="000000"/>
          <w:sz w:val="24"/>
          <w:szCs w:val="24"/>
        </w:rPr>
        <w:t xml:space="preserve"> получением Раскрывающей стороной соответствующего уведомления о получении Принимающей стороной такой информации;</w:t>
      </w:r>
    </w:p>
    <w:p>
      <w:pPr>
        <w:pStyle w:val="Style29"/>
        <w:numPr>
          <w:ilvl w:val="0"/>
          <w:numId w:val="7"/>
        </w:numPr>
        <w:ind w:left="284" w:hanging="284"/>
        <w:rPr>
          <w:color w:val="000000"/>
        </w:rPr>
      </w:pPr>
      <w:r>
        <w:rPr>
          <w:color w:val="000000"/>
          <w:sz w:val="24"/>
          <w:szCs w:val="24"/>
        </w:rPr>
        <w:t xml:space="preserve">в случае передачи информации по электронным видам связи </w:t>
      </w:r>
      <w:r>
        <w:rPr>
          <w:color w:val="000000"/>
          <w:sz w:val="24"/>
        </w:rPr>
        <w:t>–</w:t>
      </w:r>
      <w:r>
        <w:rPr>
          <w:color w:val="000000"/>
          <w:sz w:val="24"/>
          <w:szCs w:val="24"/>
        </w:rPr>
        <w:t xml:space="preserve"> получением Раскрывающей стороной по электронным видам связи, использованным для передачи информации, сообщения о получении ПДн Принимающей стороной. </w:t>
      </w:r>
    </w:p>
    <w:p>
      <w:pPr>
        <w:pStyle w:val="Normal"/>
        <w:numPr>
          <w:ilvl w:val="1"/>
          <w:numId w:val="4"/>
        </w:numPr>
        <w:tabs>
          <w:tab w:val="clear" w:pos="720"/>
          <w:tab w:val="left" w:pos="426" w:leader="none"/>
        </w:tabs>
        <w:spacing w:lineRule="auto" w:line="264" w:before="0" w:after="5"/>
        <w:ind w:right="52" w:hanging="0"/>
        <w:jc w:val="both"/>
        <w:rPr>
          <w:color w:val="000000"/>
        </w:rPr>
      </w:pPr>
      <w:r>
        <w:rPr>
          <w:color w:val="000000"/>
          <w:sz w:val="24"/>
        </w:rPr>
        <w:t xml:space="preserve">Принимающая сторона по своему усмотрению и с учетом разумной необходимости вправе передавать ПДн своим Аффилированным лицам, а также работникам, которым такая информация необходима для работы в целях, предусмотренных настоящим Соглашением. </w:t>
      </w:r>
    </w:p>
    <w:p>
      <w:pPr>
        <w:pStyle w:val="Normal"/>
        <w:tabs>
          <w:tab w:val="clear" w:pos="720"/>
          <w:tab w:val="left" w:pos="993" w:leader="none"/>
        </w:tabs>
        <w:spacing w:lineRule="auto" w:line="264" w:before="0" w:after="5"/>
        <w:ind w:right="52" w:hanging="0"/>
        <w:jc w:val="both"/>
        <w:rPr>
          <w:color w:val="000000"/>
        </w:rPr>
      </w:pPr>
      <w:r>
        <w:rPr>
          <w:color w:val="000000"/>
          <w:sz w:val="24"/>
        </w:rPr>
        <w:t>При передаче ПДн Принимающая сторона обязана указать Аффилированным лицам и работникам на конфиденциальный характер такой информации и обязанность обеспечить соответствующий режим защиты информации от несанкционированного доступа со стороны Третьих лиц, предполагающий ограниченный круг лиц, допущенных к работе с ПДн, разрешение на копирование документов, содержащих ПДн, в количестве, необходимом для выполнения своих служебных обязанностей, и уничтожение сделанных копий при отпадении такой необходимости, ограничение копирования ПДн, представленных в электронном виде.</w:t>
      </w:r>
    </w:p>
    <w:p>
      <w:pPr>
        <w:pStyle w:val="Normal"/>
        <w:tabs>
          <w:tab w:val="clear" w:pos="720"/>
          <w:tab w:val="left" w:pos="993" w:leader="none"/>
        </w:tabs>
        <w:spacing w:lineRule="auto" w:line="264" w:before="0" w:after="5"/>
        <w:ind w:right="52" w:hanging="0"/>
        <w:jc w:val="both"/>
        <w:rPr>
          <w:color w:val="000000"/>
        </w:rPr>
      </w:pPr>
      <w:r>
        <w:rPr>
          <w:color w:val="000000"/>
          <w:sz w:val="24"/>
        </w:rPr>
        <w:t xml:space="preserve">Принимающая сторона несет ответственность за действия (бездействие) своих работников и иных лиц, получивших доступ к ПДн, повлекшие Разглашение ПДн. </w:t>
      </w:r>
    </w:p>
    <w:p>
      <w:pPr>
        <w:pStyle w:val="Normal"/>
        <w:numPr>
          <w:ilvl w:val="1"/>
          <w:numId w:val="4"/>
        </w:numPr>
        <w:tabs>
          <w:tab w:val="clear" w:pos="720"/>
          <w:tab w:val="left" w:pos="284" w:leader="none"/>
          <w:tab w:val="left" w:pos="426" w:leader="none"/>
        </w:tabs>
        <w:spacing w:lineRule="auto" w:line="264" w:before="0" w:after="5"/>
        <w:ind w:right="52" w:hanging="0"/>
        <w:jc w:val="both"/>
        <w:rPr>
          <w:color w:val="000000"/>
        </w:rPr>
      </w:pPr>
      <w:r>
        <w:rPr>
          <w:color w:val="000000"/>
          <w:sz w:val="24"/>
        </w:rPr>
        <w:t xml:space="preserve">Принимающая сторона обязана обеспечить со своей стороны, со стороны своих Аффилированных лиц, а также со стороны своих работников, имеющих доступ к ПДн, использование полученных ПДн исключительно в целях, предусмотренных настоящим Соглашением, либо в целях, предусмотренных иными заключенными между Сторонами договорами и/или соглашениями, предусматривающими предоставление ПДн. </w:t>
      </w:r>
    </w:p>
    <w:p>
      <w:pPr>
        <w:pStyle w:val="Normal"/>
        <w:numPr>
          <w:ilvl w:val="1"/>
          <w:numId w:val="4"/>
        </w:numPr>
        <w:tabs>
          <w:tab w:val="clear" w:pos="720"/>
          <w:tab w:val="left" w:pos="142" w:leader="none"/>
          <w:tab w:val="left" w:pos="284" w:leader="none"/>
          <w:tab w:val="left" w:pos="426" w:leader="none"/>
        </w:tabs>
        <w:spacing w:lineRule="auto" w:line="264" w:before="0" w:after="5"/>
        <w:ind w:right="52" w:hanging="0"/>
        <w:jc w:val="both"/>
        <w:rPr>
          <w:color w:val="000000"/>
        </w:rPr>
      </w:pPr>
      <w:r>
        <w:rPr>
          <w:color w:val="000000"/>
          <w:sz w:val="24"/>
        </w:rPr>
        <w:t xml:space="preserve">Принимающая сторона не вправе без письменного разрешения Раскрывающей стороны разглашать или иным образом раскрывать ПДн Третьим лицам. </w:t>
      </w:r>
    </w:p>
    <w:p>
      <w:pPr>
        <w:pStyle w:val="Normal"/>
        <w:numPr>
          <w:ilvl w:val="1"/>
          <w:numId w:val="4"/>
        </w:numPr>
        <w:tabs>
          <w:tab w:val="clear" w:pos="720"/>
          <w:tab w:val="left" w:pos="426" w:leader="none"/>
        </w:tabs>
        <w:spacing w:lineRule="auto" w:line="264" w:before="0" w:after="5"/>
        <w:ind w:right="52" w:hanging="0"/>
        <w:jc w:val="both"/>
        <w:rPr>
          <w:color w:val="000000"/>
        </w:rPr>
      </w:pPr>
      <w:r>
        <w:rPr>
          <w:color w:val="000000"/>
          <w:sz w:val="24"/>
        </w:rPr>
        <w:t xml:space="preserve">Не является Разглашением раскрытие любой из Сторон ПДн, которые: </w:t>
      </w:r>
    </w:p>
    <w:p>
      <w:pPr>
        <w:pStyle w:val="Style29"/>
        <w:numPr>
          <w:ilvl w:val="0"/>
          <w:numId w:val="7"/>
        </w:numPr>
        <w:tabs>
          <w:tab w:val="left" w:pos="284" w:leader="none"/>
          <w:tab w:val="left" w:pos="851" w:leader="none"/>
          <w:tab w:val="left" w:pos="993" w:leader="none"/>
        </w:tabs>
        <w:ind w:left="284" w:hanging="284"/>
        <w:rPr>
          <w:color w:val="000000"/>
        </w:rPr>
      </w:pPr>
      <w:r>
        <w:rPr>
          <w:color w:val="000000"/>
          <w:sz w:val="24"/>
          <w:szCs w:val="24"/>
        </w:rPr>
        <w:t xml:space="preserve">законно являлись или стали известны, или доступны Принимающей стороне до ее получения от Раскрывающей стороны; </w:t>
      </w:r>
    </w:p>
    <w:p>
      <w:pPr>
        <w:pStyle w:val="Style29"/>
        <w:numPr>
          <w:ilvl w:val="0"/>
          <w:numId w:val="7"/>
        </w:numPr>
        <w:tabs>
          <w:tab w:val="left" w:pos="284" w:leader="none"/>
          <w:tab w:val="left" w:pos="851" w:leader="none"/>
          <w:tab w:val="left" w:pos="993" w:leader="none"/>
        </w:tabs>
        <w:ind w:left="284" w:hanging="284"/>
        <w:rPr>
          <w:color w:val="000000"/>
        </w:rPr>
      </w:pPr>
      <w:r>
        <w:rPr>
          <w:color w:val="000000"/>
          <w:sz w:val="24"/>
          <w:szCs w:val="24"/>
        </w:rPr>
        <w:t xml:space="preserve">без каких-либо ограничений доведены Раскрывающей стороной до сведения Третьего лица, а также являются или стали известны Третьим лицам в результате иных правомерных или противоправных деяний (действий, бездействия) Раскрывающей стороны; </w:t>
      </w:r>
    </w:p>
    <w:p>
      <w:pPr>
        <w:pStyle w:val="Style29"/>
        <w:numPr>
          <w:ilvl w:val="0"/>
          <w:numId w:val="7"/>
        </w:numPr>
        <w:tabs>
          <w:tab w:val="left" w:pos="284" w:leader="none"/>
          <w:tab w:val="left" w:pos="851" w:leader="none"/>
          <w:tab w:val="left" w:pos="993" w:leader="none"/>
        </w:tabs>
        <w:ind w:left="284" w:hanging="284"/>
        <w:rPr>
          <w:color w:val="000000"/>
        </w:rPr>
      </w:pPr>
      <w:r>
        <w:rPr>
          <w:color w:val="000000"/>
          <w:sz w:val="24"/>
          <w:szCs w:val="24"/>
        </w:rPr>
        <w:t xml:space="preserve">независимо подготовлены Принимающей стороной без какого-либо обращения к ПДн Раскрывающей стороны; </w:t>
      </w:r>
    </w:p>
    <w:p>
      <w:pPr>
        <w:pStyle w:val="Style29"/>
        <w:numPr>
          <w:ilvl w:val="0"/>
          <w:numId w:val="7"/>
        </w:numPr>
        <w:tabs>
          <w:tab w:val="left" w:pos="284" w:leader="none"/>
          <w:tab w:val="left" w:pos="851" w:leader="none"/>
          <w:tab w:val="left" w:pos="993" w:leader="none"/>
        </w:tabs>
        <w:ind w:left="284" w:hanging="284"/>
        <w:rPr>
          <w:color w:val="000000"/>
        </w:rPr>
      </w:pPr>
      <w:r>
        <w:rPr>
          <w:color w:val="000000"/>
          <w:sz w:val="24"/>
          <w:szCs w:val="24"/>
        </w:rPr>
        <w:t xml:space="preserve">разрешены к раскрытию письменным разрешением Раскрывающей Стороны; </w:t>
      </w:r>
    </w:p>
    <w:p>
      <w:pPr>
        <w:pStyle w:val="Style29"/>
        <w:numPr>
          <w:ilvl w:val="0"/>
          <w:numId w:val="7"/>
        </w:numPr>
        <w:tabs>
          <w:tab w:val="left" w:pos="284" w:leader="none"/>
          <w:tab w:val="left" w:pos="851" w:leader="none"/>
          <w:tab w:val="left" w:pos="993" w:leader="none"/>
        </w:tabs>
        <w:ind w:left="284" w:hanging="284"/>
        <w:rPr>
          <w:color w:val="000000"/>
        </w:rPr>
      </w:pPr>
      <w:r>
        <w:rPr>
          <w:color w:val="000000"/>
          <w:sz w:val="24"/>
          <w:szCs w:val="24"/>
        </w:rPr>
        <w:t xml:space="preserve">являются общедоступными по состоянию на дату подписания настоящего Соглашения или стали общедоступными после его подписания без нарушения положений настоящего Соглашения. </w:t>
      </w:r>
    </w:p>
    <w:p>
      <w:pPr>
        <w:pStyle w:val="Normal"/>
        <w:numPr>
          <w:ilvl w:val="1"/>
          <w:numId w:val="3"/>
        </w:numPr>
        <w:tabs>
          <w:tab w:val="clear" w:pos="720"/>
          <w:tab w:val="left" w:pos="0" w:leader="none"/>
          <w:tab w:val="left" w:pos="426" w:leader="none"/>
        </w:tabs>
        <w:spacing w:lineRule="auto" w:line="264" w:before="0" w:after="5"/>
        <w:ind w:left="0" w:right="52" w:hanging="0"/>
        <w:jc w:val="both"/>
        <w:rPr>
          <w:color w:val="000000"/>
        </w:rPr>
      </w:pPr>
      <w:r>
        <w:rPr>
          <w:color w:val="000000"/>
          <w:sz w:val="24"/>
        </w:rPr>
        <w:t xml:space="preserve">Запрет на разглашение ПДн не распространяется на случаи непреднамеренного и/или вынужденного Разглашения ПДн по причине действия обстоятельств непреодолимой силы или в силу применения положений действующего законодательства и нормативных актов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w:t>
      </w:r>
    </w:p>
    <w:p>
      <w:pPr>
        <w:pStyle w:val="Normal"/>
        <w:numPr>
          <w:ilvl w:val="1"/>
          <w:numId w:val="3"/>
        </w:numPr>
        <w:tabs>
          <w:tab w:val="clear" w:pos="720"/>
          <w:tab w:val="left" w:pos="0" w:leader="none"/>
          <w:tab w:val="left" w:pos="426" w:leader="none"/>
        </w:tabs>
        <w:spacing w:lineRule="auto" w:line="264" w:before="0" w:after="5"/>
        <w:ind w:left="0" w:right="52" w:hanging="0"/>
        <w:jc w:val="both"/>
        <w:rPr>
          <w:color w:val="000000"/>
        </w:rPr>
      </w:pPr>
      <w:r>
        <w:rPr>
          <w:color w:val="000000"/>
          <w:sz w:val="24"/>
        </w:rPr>
        <w:t>В случаях, предусмотренных п. 2.7. настоящего Соглашения, Принимающая сторона обязана предварительно до раскрытия ПДн уведомить Раскрывающую сторону о наступлении соответствующего события, с которым связана необходимость раскрытия ПДн, а также об условиях и сроках раскрытия ПДн, а при невозможности направления предварительного уведомления – незамедлительно после раскрытия при условии, что направление такого уведомления не нарушает законодательства и/или нормативных актов, регулирующих действия Сторон и/или лица, запрашивающего данную информацию. Принимающая сторона обязуется обеспечить раскрытие только той части ПДн, раскрытие которых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pPr>
        <w:pStyle w:val="Normal"/>
        <w:jc w:val="center"/>
        <w:rPr>
          <w:color w:val="000000"/>
        </w:rPr>
      </w:pPr>
      <w:r>
        <w:rPr>
          <w:b/>
          <w:color w:val="000000"/>
        </w:rPr>
        <w:t>III. ОТВЕТСТВЕННОСТЬ</w:t>
      </w:r>
    </w:p>
    <w:p>
      <w:pPr>
        <w:pStyle w:val="ListParagraph"/>
        <w:numPr>
          <w:ilvl w:val="0"/>
          <w:numId w:val="5"/>
        </w:numPr>
        <w:tabs>
          <w:tab w:val="clear" w:pos="720"/>
          <w:tab w:val="left" w:pos="0" w:leader="none"/>
          <w:tab w:val="left" w:pos="426" w:leader="none"/>
        </w:tabs>
        <w:spacing w:lineRule="auto" w:line="264" w:before="0" w:after="5"/>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 </w:t>
      </w:r>
    </w:p>
    <w:p>
      <w:pPr>
        <w:pStyle w:val="ListParagraph"/>
        <w:numPr>
          <w:ilvl w:val="0"/>
          <w:numId w:val="5"/>
        </w:numPr>
        <w:tabs>
          <w:tab w:val="clear" w:pos="720"/>
          <w:tab w:val="left" w:pos="0" w:leader="none"/>
          <w:tab w:val="left" w:pos="426" w:leader="none"/>
        </w:tabs>
        <w:spacing w:lineRule="auto" w:line="264" w:before="0" w:after="5"/>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В случае установления судом вины Принимающей стороны в Разглашении ПДн либо их несанкционированном использовании, Раскрывающая сторона имеет право на возмещение убытков, возникших в результате Разглашения ПДн или ее несанкционированного использования в соответствии со вступившим в законную силу решением суда. </w:t>
      </w:r>
    </w:p>
    <w:p>
      <w:pPr>
        <w:pStyle w:val="ListParagraph"/>
        <w:numPr>
          <w:ilvl w:val="0"/>
          <w:numId w:val="5"/>
        </w:numPr>
        <w:tabs>
          <w:tab w:val="clear" w:pos="720"/>
          <w:tab w:val="left" w:pos="284" w:leader="none"/>
          <w:tab w:val="left" w:pos="851" w:leader="none"/>
        </w:tabs>
        <w:spacing w:lineRule="auto" w:line="264" w:before="0" w:after="5"/>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Обязанность доказывания факта Разглашения ПДн и размера причиненных убытков возлагается на Раскрывающую сторону. </w:t>
      </w:r>
    </w:p>
    <w:p>
      <w:pPr>
        <w:pStyle w:val="Normal"/>
        <w:jc w:val="center"/>
        <w:rPr>
          <w:color w:val="000000"/>
        </w:rPr>
      </w:pPr>
      <w:r>
        <w:rPr>
          <w:b/>
          <w:color w:val="000000"/>
        </w:rPr>
        <w:t>IV. ИНЫЕ УСЛОВИЯ</w:t>
      </w:r>
    </w:p>
    <w:p>
      <w:pPr>
        <w:pStyle w:val="ListParagraph"/>
        <w:numPr>
          <w:ilvl w:val="0"/>
          <w:numId w:val="6"/>
        </w:numPr>
        <w:tabs>
          <w:tab w:val="clear" w:pos="720"/>
          <w:tab w:val="left" w:pos="426" w:leader="none"/>
        </w:tabs>
        <w:spacing w:lineRule="auto" w:line="264" w:before="0" w:after="5"/>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Настоящее Соглашение вступает в силу и подлежит исполнению Сторонами с момента его подписания. Соглашение действует до его расторжения по соглашению Сторон. </w:t>
      </w:r>
    </w:p>
    <w:p>
      <w:pPr>
        <w:pStyle w:val="ListParagraph"/>
        <w:numPr>
          <w:ilvl w:val="0"/>
          <w:numId w:val="6"/>
        </w:numPr>
        <w:tabs>
          <w:tab w:val="clear" w:pos="720"/>
          <w:tab w:val="left" w:pos="426" w:leader="none"/>
        </w:tabs>
        <w:spacing w:lineRule="auto" w:line="264" w:before="0" w:after="5"/>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Каждая из Сторон вправе в одностороннем порядке отказаться от исполнения настоящего Соглашения, предупредив об этом другую Сторону не менее чем за 30 (Тридцать) дней. </w:t>
      </w:r>
    </w:p>
    <w:p>
      <w:pPr>
        <w:pStyle w:val="ListParagraph"/>
        <w:spacing w:lineRule="auto" w:line="264" w:before="0" w:after="5"/>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До истечения срока предупреждения Стороны обязаны вернуть друг другу полученные ПДн либо с письменного разрешения Стороны, раскрывшей ПДн, уничтожить все документы и их копии, либо иные носители ПДн, за исключением случаев, когда уничтожение документов (копий), содержащих ПДн, не может быть произведено в соответствии с действующим законодательством Российской Федерации и/или нормативными актами, регулирующими деятельность Сторон. </w:t>
      </w:r>
    </w:p>
    <w:p>
      <w:pPr>
        <w:pStyle w:val="ListParagraph"/>
        <w:spacing w:lineRule="auto" w:line="264" w:before="0" w:after="5"/>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По истечении срока предупреждения настоящее Соглашение считается расторгнутым. </w:t>
      </w:r>
    </w:p>
    <w:p>
      <w:pPr>
        <w:pStyle w:val="ListParagraph"/>
        <w:numPr>
          <w:ilvl w:val="0"/>
          <w:numId w:val="6"/>
        </w:numPr>
        <w:tabs>
          <w:tab w:val="clear" w:pos="720"/>
          <w:tab w:val="left" w:pos="426" w:leader="none"/>
        </w:tabs>
        <w:spacing w:before="0" w:after="18"/>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В случае расторжения настоящего Соглашения по любому основанию обязательства Сторон по неразглашению ПДн сохраняются в течение 3 (трех) лет со дня расторжения Соглашения, если иное не будет согласовано Сторонами при расторжении Соглашения. </w:t>
      </w:r>
    </w:p>
    <w:p>
      <w:pPr>
        <w:pStyle w:val="ListParagraph"/>
        <w:numPr>
          <w:ilvl w:val="0"/>
          <w:numId w:val="6"/>
        </w:numPr>
        <w:tabs>
          <w:tab w:val="clear" w:pos="720"/>
          <w:tab w:val="left" w:pos="426" w:leader="none"/>
        </w:tabs>
        <w:spacing w:before="0" w:after="18"/>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Соглашение может быть изменено или дополнено только путем составления и подписания Сторонами дополнительных соглашений, которые после подписания становятся неотъемлемыми частями настоящего Соглашения. </w:t>
      </w:r>
    </w:p>
    <w:p>
      <w:pPr>
        <w:pStyle w:val="ListParagraph"/>
        <w:numPr>
          <w:ilvl w:val="0"/>
          <w:numId w:val="6"/>
        </w:numPr>
        <w:tabs>
          <w:tab w:val="clear" w:pos="720"/>
          <w:tab w:val="left" w:pos="426" w:leader="none"/>
        </w:tabs>
        <w:spacing w:lineRule="auto" w:line="264" w:before="0" w:after="5"/>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Настоящее Соглашение регулируется и толкуется в соответствии </w:t>
        <w:tab/>
        <w:t>с законодательством Российской Федерации.</w:t>
      </w:r>
    </w:p>
    <w:p>
      <w:pPr>
        <w:pStyle w:val="ListParagraph"/>
        <w:numPr>
          <w:ilvl w:val="0"/>
          <w:numId w:val="6"/>
        </w:numPr>
        <w:tabs>
          <w:tab w:val="clear" w:pos="720"/>
          <w:tab w:val="left" w:pos="426" w:leader="none"/>
        </w:tabs>
        <w:spacing w:lineRule="auto" w:line="264" w:before="0" w:after="5"/>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Все вопросы, разногласия или требования, возникающие из настоящего Соглашения, или в связи с ним, подлежат урегулированию Сторонами путем переговоров. При отсутствии согласия спор между Сторонами подлежит рассмотрению в суде. </w:t>
      </w:r>
    </w:p>
    <w:p>
      <w:pPr>
        <w:pStyle w:val="ListParagraph"/>
        <w:numPr>
          <w:ilvl w:val="0"/>
          <w:numId w:val="6"/>
        </w:numPr>
        <w:tabs>
          <w:tab w:val="clear" w:pos="720"/>
          <w:tab w:val="left" w:pos="426" w:leader="none"/>
        </w:tabs>
        <w:spacing w:lineRule="auto" w:line="264" w:before="0" w:after="5"/>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Ни одна из Сторон не вправе уступать свои права и обязанности по настоящему Соглашению третьим лицам без письменного согласия на то другой Стороны. </w:t>
      </w:r>
    </w:p>
    <w:p>
      <w:pPr>
        <w:pStyle w:val="ListParagraph"/>
        <w:numPr>
          <w:ilvl w:val="0"/>
          <w:numId w:val="6"/>
        </w:numPr>
        <w:tabs>
          <w:tab w:val="clear" w:pos="720"/>
          <w:tab w:val="left" w:pos="426" w:leader="none"/>
        </w:tabs>
        <w:spacing w:lineRule="auto" w:line="264" w:before="0" w:after="5"/>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Настоящее Соглашение представляет собой полное соглашение, заключенное между Сторонами в отношении передачи ПДн и их защиты. Настоящее Соглашение отменяет все ранее заключенные письменные соглашения и устные договоренности, касающиеся данного предмета.</w:t>
      </w:r>
    </w:p>
    <w:p>
      <w:pPr>
        <w:pStyle w:val="ListParagraph"/>
        <w:numPr>
          <w:ilvl w:val="0"/>
          <w:numId w:val="6"/>
        </w:numPr>
        <w:tabs>
          <w:tab w:val="clear" w:pos="720"/>
          <w:tab w:val="left" w:pos="426" w:leader="none"/>
        </w:tabs>
        <w:spacing w:lineRule="auto" w:line="264" w:before="0" w:after="5"/>
        <w:ind w:left="0" w:right="52" w:hanging="0"/>
        <w:contextualSpacing/>
        <w:jc w:val="both"/>
        <w:rPr>
          <w:rFonts w:ascii="Times New Roman" w:hAnsi="Times New Roman" w:cs="Times New Roman"/>
          <w:color w:val="000000"/>
        </w:rPr>
      </w:pPr>
      <w:r>
        <w:rPr>
          <w:rFonts w:cs="Times New Roman" w:ascii="Times New Roman" w:hAnsi="Times New Roman"/>
          <w:color w:val="000000"/>
          <w:sz w:val="24"/>
        </w:rPr>
        <w:t xml:space="preserve">Настоящее Соглашение составлено и подписано в двух экземплярах, имеющих одинаковую юридическую силу, по одному экземпляру для каждой Стороны. </w:t>
      </w:r>
    </w:p>
    <w:p>
      <w:pPr>
        <w:pStyle w:val="Normal"/>
        <w:jc w:val="center"/>
        <w:rPr>
          <w:color w:val="000000"/>
        </w:rPr>
      </w:pPr>
      <w:r>
        <w:rPr>
          <w:b/>
          <w:color w:val="000000"/>
        </w:rPr>
        <w:t>V. АДРЕСА, РЕКВИЗИТЫ И ПОДПИСИ СТОРОН:</w:t>
      </w:r>
    </w:p>
    <w:tbl>
      <w:tblPr>
        <w:tblStyle w:val="affb"/>
        <w:tblW w:w="9639"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30"/>
        <w:gridCol w:w="4908"/>
      </w:tblGrid>
      <w:tr>
        <w:trPr/>
        <w:tc>
          <w:tcPr>
            <w:tcW w:w="4730" w:type="dxa"/>
            <w:tcBorders>
              <w:top w:val="nil"/>
              <w:left w:val="nil"/>
              <w:bottom w:val="nil"/>
              <w:right w:val="nil"/>
            </w:tcBorders>
          </w:tcPr>
          <w:p>
            <w:pPr>
              <w:pStyle w:val="Normal"/>
              <w:widowControl/>
              <w:tabs>
                <w:tab w:val="clear" w:pos="720"/>
                <w:tab w:val="left" w:pos="709" w:leader="none"/>
              </w:tabs>
              <w:spacing w:before="0" w:after="31"/>
              <w:jc w:val="left"/>
              <w:rPr>
                <w:rFonts w:ascii="Times New Roman" w:hAnsi="Times New Roman" w:cs="Times New Roman"/>
                <w:color w:val="000000"/>
              </w:rPr>
            </w:pPr>
            <w:r>
              <w:rPr>
                <w:rFonts w:eastAsia="Calibri" w:cs="Times New Roman"/>
                <w:b/>
                <w:color w:val="000000"/>
                <w:kern w:val="0"/>
                <w:sz w:val="24"/>
                <w:szCs w:val="24"/>
                <w:lang w:val="ru-RU" w:eastAsia="en-US" w:bidi="ar-SA"/>
              </w:rPr>
              <w:t>Принимающая сторона:</w:t>
            </w:r>
          </w:p>
        </w:tc>
        <w:tc>
          <w:tcPr>
            <w:tcW w:w="4908" w:type="dxa"/>
            <w:tcBorders>
              <w:top w:val="nil"/>
              <w:left w:val="nil"/>
              <w:bottom w:val="nil"/>
              <w:right w:val="nil"/>
            </w:tcBorders>
          </w:tcPr>
          <w:p>
            <w:pPr>
              <w:pStyle w:val="Normal"/>
              <w:widowControl/>
              <w:tabs>
                <w:tab w:val="clear" w:pos="720"/>
                <w:tab w:val="left" w:pos="709" w:leader="none"/>
              </w:tabs>
              <w:spacing w:before="0" w:after="31"/>
              <w:ind w:firstLine="824"/>
              <w:jc w:val="left"/>
              <w:rPr>
                <w:rFonts w:ascii="Times New Roman" w:hAnsi="Times New Roman" w:cs="Times New Roman"/>
                <w:color w:val="000000"/>
              </w:rPr>
            </w:pPr>
            <w:r>
              <w:rPr>
                <w:rFonts w:eastAsia="Calibri" w:cs="Times New Roman"/>
                <w:b/>
                <w:color w:val="000000"/>
                <w:kern w:val="0"/>
                <w:sz w:val="24"/>
                <w:szCs w:val="24"/>
                <w:lang w:val="ru-RU" w:eastAsia="en-US" w:bidi="ar-SA"/>
              </w:rPr>
              <w:t>Раскрывающая сторона:</w:t>
            </w:r>
          </w:p>
        </w:tc>
      </w:tr>
      <w:tr>
        <w:trPr>
          <w:trHeight w:val="558" w:hRule="atLeast"/>
        </w:trPr>
        <w:tc>
          <w:tcPr>
            <w:tcW w:w="4730" w:type="dxa"/>
            <w:tcBorders>
              <w:top w:val="nil"/>
              <w:left w:val="nil"/>
              <w:bottom w:val="nil"/>
              <w:right w:val="nil"/>
            </w:tcBorders>
          </w:tcPr>
          <w:p>
            <w:pPr>
              <w:pStyle w:val="Normal"/>
              <w:widowControl/>
              <w:tabs>
                <w:tab w:val="clear" w:pos="720"/>
                <w:tab w:val="left" w:pos="709" w:leader="none"/>
              </w:tabs>
              <w:spacing w:before="0" w:after="31"/>
              <w:jc w:val="left"/>
              <w:rPr>
                <w:rFonts w:ascii="Times New Roman" w:hAnsi="Times New Roman" w:cs="Times New Roman"/>
                <w:color w:val="000000"/>
              </w:rPr>
            </w:pPr>
            <w:r>
              <w:rPr>
                <w:rFonts w:eastAsia="Calibri" w:cs="Times New Roman"/>
                <w:color w:val="000000"/>
                <w:kern w:val="0"/>
                <w:sz w:val="24"/>
                <w:szCs w:val="22"/>
                <w:lang w:val="ru-RU" w:eastAsia="en-US" w:bidi="ar-SA"/>
              </w:rPr>
              <w:t>____________________/ ___________</w:t>
            </w:r>
          </w:p>
        </w:tc>
        <w:tc>
          <w:tcPr>
            <w:tcW w:w="4908" w:type="dxa"/>
            <w:tcBorders>
              <w:top w:val="nil"/>
              <w:left w:val="nil"/>
              <w:bottom w:val="nil"/>
              <w:right w:val="nil"/>
            </w:tcBorders>
          </w:tcPr>
          <w:p>
            <w:pPr>
              <w:pStyle w:val="Normal"/>
              <w:widowControl/>
              <w:tabs>
                <w:tab w:val="clear" w:pos="720"/>
                <w:tab w:val="left" w:pos="709" w:leader="none"/>
              </w:tabs>
              <w:spacing w:before="0" w:after="31"/>
              <w:ind w:firstLine="166"/>
              <w:jc w:val="right"/>
              <w:rPr>
                <w:rFonts w:ascii="Times New Roman" w:hAnsi="Times New Roman" w:cs="Times New Roman"/>
                <w:color w:val="000000"/>
              </w:rPr>
            </w:pPr>
            <w:r>
              <w:rPr>
                <w:rFonts w:eastAsia="Calibri" w:cs="Times New Roman"/>
                <w:color w:val="000000"/>
                <w:kern w:val="0"/>
                <w:sz w:val="24"/>
                <w:szCs w:val="22"/>
                <w:lang w:val="ru-RU" w:eastAsia="en-US" w:bidi="ar-SA"/>
              </w:rPr>
              <w:t>____________________/ ___________</w:t>
            </w:r>
          </w:p>
        </w:tc>
      </w:tr>
    </w:tbl>
    <w:p>
      <w:pPr>
        <w:pStyle w:val="Normal"/>
        <w:tabs>
          <w:tab w:val="clear" w:pos="720"/>
          <w:tab w:val="left" w:pos="709" w:leader="none"/>
          <w:tab w:val="center" w:pos="2652" w:leader="none"/>
          <w:tab w:val="center" w:pos="6099" w:leader="none"/>
        </w:tabs>
        <w:spacing w:lineRule="auto" w:line="264" w:before="0" w:after="5"/>
        <w:ind w:left="709" w:hanging="709"/>
        <w:rPr>
          <w:color w:val="000000"/>
        </w:rPr>
      </w:pPr>
      <w:r>
        <w:rPr>
          <w:color w:val="000000"/>
          <w:sz w:val="24"/>
        </w:rPr>
        <w:tab/>
        <w:tab/>
        <w:t xml:space="preserve"> </w:t>
      </w:r>
    </w:p>
    <w:p>
      <w:pPr>
        <w:pStyle w:val="Normal"/>
        <w:tabs>
          <w:tab w:val="clear" w:pos="720"/>
          <w:tab w:val="left" w:pos="709" w:leader="none"/>
          <w:tab w:val="center" w:pos="1619" w:leader="none"/>
          <w:tab w:val="center" w:pos="6300" w:leader="none"/>
        </w:tabs>
        <w:spacing w:lineRule="auto" w:line="264" w:before="0" w:after="5"/>
        <w:ind w:left="709" w:hanging="709"/>
        <w:rPr>
          <w:color w:val="000000"/>
          <w:sz w:val="24"/>
          <w:szCs w:val="28"/>
        </w:rPr>
      </w:pPr>
      <w:r>
        <w:rPr>
          <w:color w:val="000000"/>
        </w:rPr>
        <w:tab/>
      </w:r>
      <w:r>
        <w:rPr>
          <w:color w:val="000000"/>
          <w:sz w:val="24"/>
        </w:rPr>
        <w:t xml:space="preserve">м.п. </w:t>
        <w:tab/>
        <w:t xml:space="preserve"> </w:t>
      </w:r>
    </w:p>
    <w:p>
      <w:pPr>
        <w:pStyle w:val="Normal"/>
        <w:suppressAutoHyphens w:val="true"/>
        <w:rPr>
          <w:color w:val="000000"/>
          <w:sz w:val="24"/>
          <w:szCs w:val="28"/>
        </w:rPr>
      </w:pPr>
      <w:r>
        <w:rPr>
          <w:color w:val="000000"/>
          <w:sz w:val="24"/>
          <w:szCs w:val="28"/>
        </w:rPr>
      </w:r>
      <w:r>
        <w:br w:type="page"/>
      </w:r>
    </w:p>
    <w:p>
      <w:pPr>
        <w:pStyle w:val="24"/>
        <w:rPr/>
      </w:pPr>
      <w:bookmarkStart w:id="120" w:name="_Toc1005889491"/>
      <w:bookmarkStart w:id="121" w:name="_Toc145919162"/>
      <w:bookmarkStart w:id="122" w:name="_Ref150243834"/>
      <w:r>
        <w:rPr/>
        <w:t>Приложение № </w:t>
      </w:r>
      <w:r>
        <w:rPr/>
        <w:fldChar w:fldCharType="begin"/>
      </w:r>
      <w:r>
        <w:rPr/>
        <w:instrText xml:space="preserve"> SEQ Приложение_№ \* ARABIC </w:instrText>
      </w:r>
      <w:r>
        <w:rPr/>
        <w:fldChar w:fldCharType="separate"/>
      </w:r>
      <w:r>
        <w:rPr/>
        <w:t>8</w:t>
      </w:r>
      <w:r>
        <w:rPr/>
        <w:fldChar w:fldCharType="end"/>
      </w:r>
      <w:bookmarkEnd w:id="122"/>
    </w:p>
    <w:p>
      <w:pPr>
        <w:pStyle w:val="Style32"/>
        <w:rPr/>
      </w:pPr>
      <w:bookmarkStart w:id="123" w:name="_Toc1005889491"/>
      <w:bookmarkStart w:id="124" w:name="_Toc145919162"/>
      <w:bookmarkStart w:id="125" w:name="_Toc150263832"/>
      <w:r>
        <w:rPr/>
        <w:t>Рекомендации по содержанию Договора в случае передачи персональных данных</w:t>
      </w:r>
      <w:bookmarkEnd w:id="123"/>
      <w:bookmarkEnd w:id="124"/>
      <w:bookmarkEnd w:id="125"/>
    </w:p>
    <w:p>
      <w:pPr>
        <w:pStyle w:val="111"/>
        <w:numPr>
          <w:ilvl w:val="0"/>
          <w:numId w:val="43"/>
        </w:numPr>
        <w:rPr>
          <w:color w:val="000000"/>
        </w:rPr>
      </w:pPr>
      <w:r>
        <w:rPr>
          <w:color w:val="000000"/>
        </w:rPr>
        <w:t>В договоре прописываются категории субъектов персональных данных и состав персональных данных, планируемых к передаче.</w:t>
      </w:r>
    </w:p>
    <w:p>
      <w:pPr>
        <w:pStyle w:val="Normal"/>
        <w:ind w:right="7" w:firstLine="4"/>
        <w:jc w:val="both"/>
        <w:rPr>
          <w:color w:val="000000"/>
        </w:rPr>
      </w:pPr>
      <w:r>
        <w:rPr>
          <w:b/>
          <w:color w:val="000000"/>
          <w:szCs w:val="28"/>
          <w:u w:val="single"/>
        </w:rPr>
        <w:t>Например:</w:t>
      </w:r>
    </w:p>
    <w:p>
      <w:pPr>
        <w:pStyle w:val="Normal"/>
        <w:ind w:right="7" w:hanging="0"/>
        <w:jc w:val="both"/>
        <w:rPr>
          <w:color w:val="000000"/>
        </w:rPr>
      </w:pPr>
      <w:r>
        <w:rPr>
          <w:color w:val="000000"/>
          <w:szCs w:val="28"/>
        </w:rPr>
        <w:t>АНО ДПО «Техническая академия Росатома» поручает, а Исполнитель принимает на себя обязательство осуществить обработку персональных данных следующих категорий субъектов:____________________(перечень передаваемых категорий субъектов персональных данных)</w:t>
        <w:br/>
        <w:t>(далее </w:t>
      </w:r>
      <w:r>
        <w:rPr>
          <w:color w:val="000000"/>
          <w:sz w:val="24"/>
        </w:rPr>
        <w:t>–</w:t>
      </w:r>
      <w:r>
        <w:rPr>
          <w:color w:val="000000"/>
          <w:szCs w:val="28"/>
        </w:rPr>
        <w:t> «Поручение») в целях______________________________(конкретные, заранее определенные и законные цели).</w:t>
      </w:r>
    </w:p>
    <w:p>
      <w:pPr>
        <w:pStyle w:val="111"/>
        <w:numPr>
          <w:ilvl w:val="0"/>
          <w:numId w:val="44"/>
        </w:numPr>
        <w:rPr>
          <w:color w:val="000000"/>
        </w:rPr>
      </w:pPr>
      <w:r>
        <w:rPr>
          <w:color w:val="000000"/>
        </w:rPr>
        <w:t>Указывается перечень действий (операций) с персональными данными, которые будут совершаться лицом, осуществляющим обработку персональных данных.</w:t>
      </w:r>
    </w:p>
    <w:p>
      <w:pPr>
        <w:pStyle w:val="Normal"/>
        <w:tabs>
          <w:tab w:val="clear" w:pos="720"/>
          <w:tab w:val="left" w:pos="142" w:leader="none"/>
        </w:tabs>
        <w:ind w:left="142" w:right="219" w:hanging="142"/>
        <w:jc w:val="both"/>
        <w:rPr>
          <w:color w:val="000000"/>
        </w:rPr>
      </w:pPr>
      <w:r>
        <w:rPr>
          <w:b/>
          <w:color w:val="000000"/>
          <w:szCs w:val="28"/>
          <w:u w:val="single"/>
        </w:rPr>
        <w:t>Например:</w:t>
      </w:r>
    </w:p>
    <w:p>
      <w:pPr>
        <w:pStyle w:val="Normal"/>
        <w:tabs>
          <w:tab w:val="clear" w:pos="720"/>
          <w:tab w:val="left" w:pos="0" w:leader="none"/>
        </w:tabs>
        <w:ind w:right="7" w:hanging="0"/>
        <w:jc w:val="both"/>
        <w:rPr>
          <w:color w:val="000000"/>
        </w:rPr>
      </w:pPr>
      <w:r>
        <w:rPr>
          <w:color w:val="000000"/>
          <w:szCs w:val="28"/>
        </w:rPr>
        <w:t>Обработка персональных данных в рамках исполнения Поручения предполагает осуществление следующих действий (операций) как с использованием, так и без использования средств автоматизации: сбор, запись, уточнение, хранение, передачу, обезличивание, уничтожение.</w:t>
      </w:r>
    </w:p>
    <w:p>
      <w:pPr>
        <w:pStyle w:val="111"/>
        <w:numPr>
          <w:ilvl w:val="0"/>
          <w:numId w:val="45"/>
        </w:numPr>
        <w:rPr>
          <w:color w:val="000000"/>
        </w:rPr>
      </w:pPr>
      <w:r>
        <w:rPr>
          <w:color w:val="000000"/>
        </w:rPr>
        <w:t>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w:t>
      </w:r>
    </w:p>
    <w:p>
      <w:pPr>
        <w:pStyle w:val="Normal"/>
        <w:ind w:left="284" w:right="7" w:hanging="284"/>
        <w:jc w:val="both"/>
        <w:rPr>
          <w:color w:val="000000"/>
        </w:rPr>
      </w:pPr>
      <w:r>
        <w:rPr>
          <w:b/>
          <w:color w:val="000000"/>
          <w:szCs w:val="28"/>
          <w:u w:val="single"/>
        </w:rPr>
        <w:t>Например:</w:t>
      </w:r>
    </w:p>
    <w:p>
      <w:pPr>
        <w:pStyle w:val="Normal"/>
        <w:ind w:left="284" w:right="7" w:hanging="284"/>
        <w:rPr>
          <w:color w:val="000000"/>
        </w:rPr>
      </w:pPr>
      <w:r>
        <w:rPr>
          <w:color w:val="000000"/>
          <w:szCs w:val="28"/>
        </w:rPr>
        <w:t>Исполнитель обязуется:</w:t>
      </w:r>
    </w:p>
    <w:p>
      <w:pPr>
        <w:pStyle w:val="Style29"/>
        <w:numPr>
          <w:ilvl w:val="0"/>
          <w:numId w:val="7"/>
        </w:numPr>
        <w:ind w:left="284" w:hanging="284"/>
        <w:rPr/>
      </w:pPr>
      <w:r>
        <w:rPr>
          <w:rStyle w:val="Style9"/>
          <w:color w:val="000000"/>
        </w:rPr>
        <w:t>своевременно и качественно выполнить Поручение в соответствии с требованиями, предусмотренными Федеральным законом «О персональных данных» и принятыми в соответствии с ним нормативными правовыми актами;</w:t>
      </w:r>
    </w:p>
    <w:p>
      <w:pPr>
        <w:pStyle w:val="Style29"/>
        <w:numPr>
          <w:ilvl w:val="0"/>
          <w:numId w:val="7"/>
        </w:numPr>
        <w:ind w:left="284" w:hanging="284"/>
        <w:rPr/>
      </w:pPr>
      <w:r>
        <w:rPr>
          <w:rStyle w:val="Style9"/>
          <w:color w:val="000000"/>
        </w:rPr>
        <w:t>принимать исчерпывающие меры по обеспечению безопасности персональных данных при выполнении Поручения.</w:t>
      </w:r>
    </w:p>
    <w:p>
      <w:pPr>
        <w:pStyle w:val="111"/>
        <w:numPr>
          <w:ilvl w:val="0"/>
          <w:numId w:val="46"/>
        </w:numPr>
        <w:rPr>
          <w:color w:val="000000"/>
        </w:rPr>
      </w:pPr>
      <w:r>
        <w:rPr>
          <w:color w:val="000000"/>
        </w:rPr>
        <w:t>В договоре должна быть установлена обязанность лица, осуществляющего обработку персональных данных,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
    <w:p>
      <w:pPr>
        <w:pStyle w:val="Normal"/>
        <w:ind w:right="7" w:hanging="0"/>
        <w:rPr>
          <w:color w:val="000000"/>
        </w:rPr>
      </w:pPr>
      <w:r>
        <w:rPr>
          <w:b/>
          <w:color w:val="000000"/>
          <w:szCs w:val="28"/>
          <w:u w:val="single"/>
        </w:rPr>
        <w:t>Например:</w:t>
      </w:r>
    </w:p>
    <w:p>
      <w:pPr>
        <w:pStyle w:val="Normal"/>
        <w:ind w:left="14" w:right="7" w:hanging="0"/>
        <w:jc w:val="both"/>
        <w:rPr>
          <w:color w:val="000000"/>
        </w:rPr>
      </w:pPr>
      <w:r>
        <w:rPr>
          <w:color w:val="000000"/>
          <w:szCs w:val="28"/>
        </w:rPr>
        <w:t>Исполнитель при выполнении Поручения обязуется соблюдать конфиденциальность персональных данных и обеспечивать безопасность персональных данных при их обработке, а также требования к защите обрабатываемых персональных данных в соответствии со статьей 19 Федерального закона «О персональных данных», принимать правовые, организационные и технические меры для защиты полученных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указанных персональных данных.</w:t>
      </w:r>
    </w:p>
    <w:p>
      <w:pPr>
        <w:pStyle w:val="Normal"/>
        <w:suppressAutoHyphens w:val="true"/>
        <w:rPr>
          <w:b/>
          <w:b/>
          <w:iCs/>
          <w:szCs w:val="28"/>
        </w:rPr>
      </w:pPr>
      <w:r>
        <w:rPr>
          <w:b/>
          <w:iCs/>
          <w:szCs w:val="28"/>
        </w:rPr>
      </w:r>
      <w:r>
        <w:br w:type="page"/>
      </w:r>
    </w:p>
    <w:p>
      <w:pPr>
        <w:pStyle w:val="24"/>
        <w:rPr/>
      </w:pPr>
      <w:bookmarkStart w:id="126" w:name="_Toc145919163"/>
      <w:bookmarkStart w:id="127" w:name="_Ref150243853"/>
      <w:r>
        <w:rPr/>
        <w:t>Приложение № </w:t>
      </w:r>
      <w:r>
        <w:rPr/>
        <w:fldChar w:fldCharType="begin"/>
      </w:r>
      <w:r>
        <w:rPr/>
        <w:instrText xml:space="preserve"> SEQ Приложение_№ \* ARABIC </w:instrText>
      </w:r>
      <w:r>
        <w:rPr/>
        <w:fldChar w:fldCharType="separate"/>
      </w:r>
      <w:r>
        <w:rPr/>
        <w:t>9</w:t>
      </w:r>
      <w:r>
        <w:rPr/>
        <w:fldChar w:fldCharType="end"/>
      </w:r>
      <w:bookmarkEnd w:id="127"/>
    </w:p>
    <w:p>
      <w:pPr>
        <w:pStyle w:val="Style32"/>
        <w:rPr/>
      </w:pPr>
      <w:bookmarkStart w:id="128" w:name="_Toc145919163"/>
      <w:bookmarkStart w:id="129" w:name="_Toc150263833"/>
      <w:r>
        <w:rPr/>
        <w:t>СОГЛАСИЕ</w:t>
        <w:br/>
        <w:t>на трансграничную передачу персональных данных, предоставленное АНО ДПО «Техническая академия Росатома»</w:t>
      </w:r>
      <w:bookmarkEnd w:id="128"/>
      <w:bookmarkEnd w:id="129"/>
    </w:p>
    <w:p>
      <w:pPr>
        <w:pStyle w:val="Normal"/>
        <w:spacing w:before="240" w:after="0"/>
        <w:ind w:right="-1" w:hanging="0"/>
        <w:jc w:val="both"/>
        <w:rPr>
          <w:szCs w:val="28"/>
        </w:rPr>
      </w:pPr>
      <w:r>
        <w:rPr>
          <w:b/>
          <w:szCs w:val="28"/>
        </w:rPr>
        <w:t>Я</w:t>
      </w:r>
      <w:r>
        <w:rPr>
          <w:szCs w:val="28"/>
        </w:rPr>
        <w:t>,_________________________________________________(ФИО полностью) дата рождения, «__»______________г., паспорт серия______№________ «___»__________г.________________________________, (кем выдан и когда) зарегистрированный(я) по адресу:______________________________________, адрес фактического проживания</w:t>
      </w:r>
    </w:p>
    <w:p>
      <w:pPr>
        <w:pStyle w:val="Normal"/>
        <w:ind w:right="-1" w:hanging="0"/>
        <w:jc w:val="both"/>
        <w:rPr>
          <w:szCs w:val="28"/>
        </w:rPr>
      </w:pPr>
      <w:r>
        <w:rPr>
          <w:b/>
          <w:szCs w:val="28"/>
        </w:rPr>
        <w:t>В лице представителя субъекта персональных данных</w:t>
      </w:r>
      <w:r>
        <w:rPr>
          <w:szCs w:val="28"/>
        </w:rPr>
        <w:t xml:space="preserve"> </w:t>
      </w:r>
      <w:r>
        <w:rPr>
          <w:i/>
          <w:szCs w:val="28"/>
        </w:rPr>
        <w:t>(заполняется в случае получения согласия от представителя субъекта персональных данных</w:t>
      </w:r>
      <w:r>
        <w:rPr>
          <w:szCs w:val="28"/>
        </w:rPr>
        <w:t>) ____________________________________________________(ФИО полностью), паспорт серия ____№________ «___»___________ г. (кем и когда выдан), проживающий по адресу_______________________________________________,действующий от имени субъекта персональных данных на основании___________________________________________________________</w:t>
      </w:r>
    </w:p>
    <w:p>
      <w:pPr>
        <w:pStyle w:val="Normal"/>
        <w:ind w:right="-1" w:hanging="0"/>
        <w:jc w:val="both"/>
        <w:rPr>
          <w:szCs w:val="28"/>
        </w:rPr>
      </w:pPr>
      <w:r>
        <w:rPr>
          <w:szCs w:val="28"/>
        </w:rPr>
        <w:t xml:space="preserve">(реквизиты доверенности или иного Документа, подтверждающего полномочия представителя), </w:t>
      </w:r>
    </w:p>
    <w:p>
      <w:pPr>
        <w:pStyle w:val="Normal"/>
        <w:ind w:right="-1" w:hanging="0"/>
        <w:jc w:val="both"/>
        <w:rPr>
          <w:szCs w:val="28"/>
        </w:rPr>
      </w:pPr>
      <w:r>
        <w:rPr>
          <w:szCs w:val="28"/>
        </w:rPr>
        <w:tab/>
        <w:t xml:space="preserve">настоящим свободно, своей волей и в своем интересе, а также в соответствии с ст. 9 закона Российской Федерации от 27.07.2006 № 152-ФЗ «О персональных данных» </w:t>
      </w:r>
      <w:r>
        <w:rPr>
          <w:b/>
          <w:szCs w:val="28"/>
        </w:rPr>
        <w:t>даю свое согласие</w:t>
      </w:r>
      <w:r>
        <w:rPr>
          <w:szCs w:val="28"/>
        </w:rPr>
        <w:t xml:space="preserve"> Оператору персональных данных - Автономной некоммерческой организации дополнительного профессионального образования «Техническая академия Росатома» (ОГРН 1174027012830, ИНН 4025450383), зарегистрированной по адресу: Калужская область, г. Обнинск,</w:t>
        <w:br/>
        <w:t xml:space="preserve">ул. Курчатова, д. 21 </w:t>
      </w:r>
      <w:r>
        <w:rPr>
          <w:b/>
          <w:bCs/>
          <w:szCs w:val="28"/>
        </w:rPr>
        <w:t>на трансграничную передачу следующих персональных данных:</w:t>
      </w:r>
    </w:p>
    <w:p>
      <w:pPr>
        <w:pStyle w:val="Normal"/>
        <w:ind w:left="23" w:right="-1" w:hanging="0"/>
        <w:jc w:val="both"/>
        <w:rPr>
          <w:szCs w:val="28"/>
        </w:rPr>
      </w:pPr>
      <w:r>
        <w:rPr>
          <w:szCs w:val="28"/>
        </w:rPr>
        <w:t xml:space="preserve">фамилия, имя, отчество; </w:t>
      </w:r>
    </w:p>
    <w:p>
      <w:pPr>
        <w:pStyle w:val="Normal"/>
        <w:ind w:left="23" w:right="-1" w:hanging="0"/>
        <w:jc w:val="both"/>
        <w:rPr>
          <w:szCs w:val="28"/>
        </w:rPr>
      </w:pPr>
      <w:r>
        <w:rPr>
          <w:szCs w:val="28"/>
        </w:rPr>
        <w:t xml:space="preserve">пол; </w:t>
      </w:r>
    </w:p>
    <w:p>
      <w:pPr>
        <w:pStyle w:val="Normal"/>
        <w:ind w:left="23" w:right="-1" w:hanging="0"/>
        <w:jc w:val="both"/>
        <w:rPr>
          <w:szCs w:val="28"/>
        </w:rPr>
      </w:pPr>
      <w:r>
        <w:rPr>
          <w:szCs w:val="28"/>
        </w:rPr>
        <w:t xml:space="preserve">дата и место рождения; </w:t>
      </w:r>
    </w:p>
    <w:p>
      <w:pPr>
        <w:pStyle w:val="Normal"/>
        <w:ind w:left="23" w:right="-1" w:hanging="0"/>
        <w:jc w:val="both"/>
        <w:rPr>
          <w:szCs w:val="28"/>
        </w:rPr>
      </w:pPr>
      <w:r>
        <w:rPr>
          <w:szCs w:val="28"/>
        </w:rPr>
        <w:t>паспортные данные (серия, номер, когда и кем выдан);</w:t>
      </w:r>
    </w:p>
    <w:p>
      <w:pPr>
        <w:pStyle w:val="Normal"/>
        <w:ind w:left="23" w:right="-1" w:hanging="0"/>
        <w:jc w:val="both"/>
        <w:rPr>
          <w:szCs w:val="28"/>
        </w:rPr>
      </w:pPr>
      <w:r>
        <w:rPr>
          <w:szCs w:val="28"/>
        </w:rPr>
        <w:t>данные заграничного паспорта (серия, номер, кем и когда выдан);</w:t>
      </w:r>
    </w:p>
    <w:p>
      <w:pPr>
        <w:pStyle w:val="Normal"/>
        <w:ind w:left="23" w:right="-1" w:hanging="0"/>
        <w:jc w:val="both"/>
        <w:rPr>
          <w:szCs w:val="28"/>
        </w:rPr>
      </w:pPr>
      <w:r>
        <w:rPr>
          <w:szCs w:val="28"/>
        </w:rPr>
        <w:t xml:space="preserve">гражданство; </w:t>
      </w:r>
    </w:p>
    <w:p>
      <w:pPr>
        <w:pStyle w:val="Normal"/>
        <w:ind w:left="23" w:right="-1" w:hanging="0"/>
        <w:jc w:val="both"/>
        <w:rPr>
          <w:szCs w:val="28"/>
        </w:rPr>
      </w:pPr>
      <w:r>
        <w:rPr>
          <w:szCs w:val="28"/>
        </w:rPr>
        <w:t xml:space="preserve">адрес регистрации; </w:t>
      </w:r>
    </w:p>
    <w:p>
      <w:pPr>
        <w:pStyle w:val="Normal"/>
        <w:ind w:left="23" w:right="-1" w:hanging="0"/>
        <w:jc w:val="both"/>
        <w:rPr>
          <w:szCs w:val="28"/>
        </w:rPr>
      </w:pPr>
      <w:r>
        <w:rPr>
          <w:szCs w:val="28"/>
        </w:rPr>
        <w:t xml:space="preserve">адрес фактический; </w:t>
      </w:r>
    </w:p>
    <w:p>
      <w:pPr>
        <w:pStyle w:val="Normal"/>
        <w:ind w:left="23" w:right="-1" w:hanging="0"/>
        <w:jc w:val="both"/>
        <w:rPr>
          <w:szCs w:val="28"/>
        </w:rPr>
      </w:pPr>
      <w:r>
        <w:rPr>
          <w:szCs w:val="28"/>
        </w:rPr>
        <w:t xml:space="preserve">контактная информация (телефон, эл. почта и пр.); </w:t>
      </w:r>
    </w:p>
    <w:p>
      <w:pPr>
        <w:pStyle w:val="Normal"/>
        <w:ind w:left="23" w:right="-1" w:hanging="0"/>
        <w:jc w:val="both"/>
        <w:rPr>
          <w:szCs w:val="28"/>
        </w:rPr>
      </w:pPr>
      <w:r>
        <w:rPr>
          <w:szCs w:val="28"/>
        </w:rPr>
        <w:t>сведения об образовании;</w:t>
      </w:r>
    </w:p>
    <w:p>
      <w:pPr>
        <w:pStyle w:val="Normal"/>
        <w:ind w:left="23" w:right="-1" w:hanging="0"/>
        <w:jc w:val="both"/>
        <w:rPr>
          <w:szCs w:val="28"/>
        </w:rPr>
      </w:pPr>
      <w:r>
        <w:rPr>
          <w:szCs w:val="28"/>
        </w:rPr>
        <w:t>сведения об обучении;</w:t>
      </w:r>
    </w:p>
    <w:p>
      <w:pPr>
        <w:pStyle w:val="Normal"/>
        <w:ind w:left="23" w:right="-1" w:hanging="0"/>
        <w:jc w:val="both"/>
        <w:rPr>
          <w:szCs w:val="28"/>
        </w:rPr>
      </w:pPr>
      <w:r>
        <w:rPr>
          <w:szCs w:val="28"/>
        </w:rPr>
        <w:t>должность;</w:t>
      </w:r>
    </w:p>
    <w:p>
      <w:pPr>
        <w:pStyle w:val="Normal"/>
        <w:ind w:left="23" w:right="-1" w:hanging="0"/>
        <w:jc w:val="both"/>
        <w:rPr>
          <w:szCs w:val="28"/>
        </w:rPr>
      </w:pPr>
      <w:r>
        <w:rPr>
          <w:szCs w:val="28"/>
        </w:rPr>
        <w:t>прочие сведения, на основании которых может быть идентифицирован обучающийся.</w:t>
      </w:r>
      <w:r>
        <w:br w:type="page"/>
      </w:r>
    </w:p>
    <w:p>
      <w:pPr>
        <w:pStyle w:val="Normal"/>
        <w:ind w:right="-1" w:hanging="0"/>
        <w:jc w:val="both"/>
        <w:rPr>
          <w:b/>
          <w:b/>
          <w:bCs/>
          <w:szCs w:val="28"/>
        </w:rPr>
      </w:pPr>
      <w:r>
        <w:rPr>
          <w:b/>
          <w:bCs/>
          <w:szCs w:val="28"/>
        </w:rPr>
        <w:t xml:space="preserve">Для следующих целей: </w:t>
      </w:r>
    </w:p>
    <w:p>
      <w:pPr>
        <w:pStyle w:val="Normal"/>
        <w:ind w:right="-1" w:hanging="0"/>
        <w:jc w:val="both"/>
        <w:rPr>
          <w:i/>
          <w:i/>
          <w:iCs/>
          <w:szCs w:val="28"/>
          <w:u w:val="single"/>
        </w:rPr>
      </w:pPr>
      <w:r>
        <w:rPr>
          <w:i/>
          <w:iCs/>
          <w:szCs w:val="28"/>
          <w:u w:val="single"/>
        </w:rPr>
        <w:t xml:space="preserve">Пример (либо выбрать подходящее): </w:t>
      </w:r>
    </w:p>
    <w:p>
      <w:pPr>
        <w:pStyle w:val="Style29"/>
        <w:numPr>
          <w:ilvl w:val="0"/>
          <w:numId w:val="31"/>
        </w:numPr>
        <w:tabs>
          <w:tab w:val="clear" w:pos="993"/>
          <w:tab w:val="left" w:pos="426" w:leader="none"/>
        </w:tabs>
        <w:ind w:left="0" w:hanging="0"/>
        <w:rPr/>
      </w:pPr>
      <w:r>
        <w:rPr/>
        <w:t>обеспечения соблюдения требований законодательства Российской Федерации, требований п. 3 ст. 76 Федерального закона «Об образовании в Российской Федерации» от 29.12.2012 № 273-ФЗ, осуществления обеспечения организации учебного процесса,</w:t>
      </w:r>
      <w:r>
        <w:rPr>
          <w:shd w:fill="FFFFFF" w:val="clear"/>
        </w:rPr>
        <w:t xml:space="preserve"> в том числе предоставления сведений о документах об образовании и (или) о квалификации, документах об обучении в Федеральную информационную систему «Федеральный реестр сведений о документах об образовании и (или) о квалификации, документах об обучении» (ФИС ФРДО);</w:t>
      </w:r>
    </w:p>
    <w:p>
      <w:pPr>
        <w:pStyle w:val="Style29"/>
        <w:numPr>
          <w:ilvl w:val="0"/>
          <w:numId w:val="31"/>
        </w:numPr>
        <w:tabs>
          <w:tab w:val="clear" w:pos="993"/>
          <w:tab w:val="left" w:pos="426" w:leader="none"/>
        </w:tabs>
        <w:ind w:left="0" w:hanging="0"/>
        <w:rPr/>
      </w:pPr>
      <w:r>
        <w:rPr/>
        <w:t>обеспечения функционирования пропускного режима (доступ к местам проведения обучения, местам проживания и т.д.), организации и проведения обучения (учет посещаемости, ведение личных дел, выпуск сертификатов о завершении обучения и т.д.), оформления отчетной документации (ежемесячные, ежеквартальные отчеты), организации трансферов, оформления регистрации по месту временного пребывания;</w:t>
      </w:r>
    </w:p>
    <w:p>
      <w:pPr>
        <w:pStyle w:val="Style29"/>
        <w:numPr>
          <w:ilvl w:val="0"/>
          <w:numId w:val="31"/>
        </w:numPr>
        <w:tabs>
          <w:tab w:val="clear" w:pos="993"/>
          <w:tab w:val="left" w:pos="426" w:leader="none"/>
        </w:tabs>
        <w:ind w:left="0" w:hanging="0"/>
        <w:rPr/>
      </w:pPr>
      <w:r>
        <w:rPr/>
        <w:t xml:space="preserve">исполнения </w:t>
      </w:r>
      <w:r>
        <w:rPr>
          <w:color w:val="000000"/>
        </w:rPr>
        <w:t>Автономной Некоммерческой Организацией Дополнительного Профессионального Образования «Техническая Академия Росатома»</w:t>
      </w:r>
      <w:r>
        <w:rPr/>
        <w:t xml:space="preserve"> обязательств по договору №_________</w:t>
      </w:r>
      <w:r>
        <w:rPr>
          <w:color w:val="000000"/>
        </w:rPr>
        <w:t xml:space="preserve"> от __________г. (</w:t>
      </w:r>
      <w:r>
        <w:rPr>
          <w:i/>
          <w:iCs/>
          <w:color w:val="000000"/>
        </w:rPr>
        <w:t>указать соответствующий предмет Договора, на пример: на предоставление образовательных услуг по программам повышения квалификации и профессиональной переподготовке),</w:t>
      </w:r>
      <w:r>
        <w:rPr>
          <w:color w:val="000000"/>
        </w:rPr>
        <w:t xml:space="preserve"> путем организации обучения </w:t>
      </w:r>
      <w:r>
        <w:rPr>
          <w:i/>
          <w:iCs/>
          <w:color w:val="000000"/>
        </w:rPr>
        <w:t>«Наименование программы обучения (темы)»</w:t>
      </w:r>
      <w:r>
        <w:rPr>
          <w:color w:val="000000"/>
        </w:rPr>
        <w:t>, с обязательным подтверждением сертификатом;</w:t>
      </w:r>
    </w:p>
    <w:p>
      <w:pPr>
        <w:pStyle w:val="Style29"/>
        <w:numPr>
          <w:ilvl w:val="0"/>
          <w:numId w:val="31"/>
        </w:numPr>
        <w:tabs>
          <w:tab w:val="clear" w:pos="993"/>
          <w:tab w:val="left" w:pos="426" w:leader="none"/>
        </w:tabs>
        <w:ind w:left="0" w:hanging="0"/>
        <w:rPr/>
      </w:pPr>
      <w:r>
        <w:rPr>
          <w:color w:val="000000"/>
        </w:rPr>
        <w:t>направления меня в командировку.</w:t>
      </w:r>
    </w:p>
    <w:p>
      <w:pPr>
        <w:pStyle w:val="Style29"/>
        <w:numPr>
          <w:ilvl w:val="0"/>
          <w:numId w:val="31"/>
        </w:numPr>
        <w:tabs>
          <w:tab w:val="clear" w:pos="993"/>
          <w:tab w:val="left" w:pos="426" w:leader="none"/>
        </w:tabs>
        <w:ind w:left="0" w:hanging="0"/>
        <w:rPr/>
      </w:pPr>
      <w:r>
        <w:rPr>
          <w:b/>
          <w:bCs/>
        </w:rPr>
        <w:t xml:space="preserve">Трансграничная передача персональных данных осуществляется на территорию: </w:t>
      </w:r>
      <w:r>
        <w:rPr/>
        <w:t xml:space="preserve">пример: </w:t>
      </w:r>
      <w:r>
        <w:rPr>
          <w:i/>
          <w:iCs/>
          <w:color w:val="000000"/>
        </w:rPr>
        <w:t>Указываем страну, куда будем передавать ПДн (пример: Армения; Белоруссия; Сербия; Турция).</w:t>
      </w:r>
    </w:p>
    <w:p>
      <w:pPr>
        <w:pStyle w:val="Style29"/>
        <w:numPr>
          <w:ilvl w:val="0"/>
          <w:numId w:val="31"/>
        </w:numPr>
        <w:tabs>
          <w:tab w:val="clear" w:pos="993"/>
          <w:tab w:val="left" w:pos="426" w:leader="none"/>
        </w:tabs>
        <w:ind w:left="0" w:hanging="0"/>
        <w:rPr>
          <w:b/>
          <w:b/>
          <w:bCs/>
        </w:rPr>
      </w:pPr>
      <w:r>
        <w:rPr>
          <w:b/>
          <w:bCs/>
          <w:color w:val="000000"/>
        </w:rPr>
        <w:t xml:space="preserve">Наименование и адрес (в том числе электронный) получателя персональных данных: </w:t>
      </w:r>
      <w:r>
        <w:rPr>
          <w:color w:val="000000"/>
        </w:rPr>
        <w:t>_________</w:t>
      </w:r>
    </w:p>
    <w:p>
      <w:pPr>
        <w:pStyle w:val="Normal"/>
        <w:ind w:left="23" w:right="-1" w:hanging="0"/>
        <w:jc w:val="both"/>
        <w:rPr>
          <w:szCs w:val="28"/>
        </w:rPr>
      </w:pPr>
      <w:r>
        <w:rPr>
          <w:b/>
          <w:szCs w:val="28"/>
        </w:rPr>
        <w:t>Способы обработки и трансграничной передачи персональных данных:</w:t>
      </w:r>
      <w:r>
        <w:rPr>
          <w:szCs w:val="28"/>
        </w:rPr>
        <w:t xml:space="preserve"> автоматизированная, а также без использования средств автоматизации, обработка персональных данных, в том числе</w:t>
      </w:r>
      <w:r>
        <w:rPr>
          <w:b/>
          <w:szCs w:val="28"/>
        </w:rPr>
        <w:t xml:space="preserve"> </w:t>
      </w:r>
      <w:r>
        <w:rPr>
          <w:szCs w:val="28"/>
        </w:rPr>
        <w:t>по информационно-телекоммуникационным сетям или без таковой, смешанная обработка персональных данных.</w:t>
      </w:r>
    </w:p>
    <w:p>
      <w:pPr>
        <w:pStyle w:val="Normal"/>
        <w:ind w:firstLine="540"/>
        <w:jc w:val="both"/>
        <w:rPr>
          <w:szCs w:val="28"/>
        </w:rPr>
      </w:pPr>
      <w:r>
        <w:rPr>
          <w:szCs w:val="28"/>
        </w:rPr>
        <w:t xml:space="preserve">Настоящее согласие действует со дня его подписания и </w:t>
      </w:r>
      <w:r>
        <w:rPr>
          <w:szCs w:val="28"/>
          <w:shd w:fill="FFFFFF" w:val="clear"/>
        </w:rPr>
        <w:t xml:space="preserve">до достижения цели обработки </w:t>
      </w:r>
      <w:r>
        <w:rPr>
          <w:bCs/>
          <w:szCs w:val="28"/>
          <w:shd w:fill="FFFFFF" w:val="clear"/>
        </w:rPr>
        <w:t xml:space="preserve">персональных данных, либо до истечения сроков, установленных действующим законодательством Российской Федерации. </w:t>
      </w:r>
      <w:r>
        <w:br w:type="page"/>
      </w:r>
    </w:p>
    <w:p>
      <w:pPr>
        <w:pStyle w:val="Normal"/>
        <w:ind w:firstLine="709"/>
        <w:jc w:val="both"/>
        <w:rPr>
          <w:szCs w:val="28"/>
        </w:rPr>
      </w:pPr>
      <w:r>
        <w:rPr>
          <w:szCs w:val="28"/>
        </w:rPr>
        <w:t xml:space="preserve">Отзыв согласия может быть произведен в любой момент путем подачи письменного заявления в адрес Оператора. </w:t>
      </w:r>
    </w:p>
    <w:p>
      <w:pPr>
        <w:pStyle w:val="Normal"/>
        <w:ind w:left="14" w:right="7" w:hanging="0"/>
        <w:jc w:val="center"/>
        <w:rPr>
          <w:szCs w:val="28"/>
        </w:rPr>
      </w:pPr>
      <w:r>
        <w:rPr>
          <w:szCs w:val="28"/>
        </w:rPr>
      </w:r>
    </w:p>
    <w:tbl>
      <w:tblPr>
        <w:tblW w:w="9289" w:type="dxa"/>
        <w:jc w:val="left"/>
        <w:tblInd w:w="60" w:type="dxa"/>
        <w:tblLayout w:type="fixed"/>
        <w:tblCellMar>
          <w:top w:w="75" w:type="dxa"/>
          <w:left w:w="75" w:type="dxa"/>
          <w:bottom w:w="75" w:type="dxa"/>
          <w:right w:w="75" w:type="dxa"/>
        </w:tblCellMar>
        <w:tblLook w:val="0600" w:noVBand="1" w:noHBand="1" w:lastColumn="0" w:firstColumn="0" w:lastRow="0" w:firstRow="0"/>
      </w:tblPr>
      <w:tblGrid>
        <w:gridCol w:w="2338"/>
        <w:gridCol w:w="288"/>
        <w:gridCol w:w="2691"/>
        <w:gridCol w:w="287"/>
        <w:gridCol w:w="3685"/>
      </w:tblGrid>
      <w:tr>
        <w:trPr/>
        <w:tc>
          <w:tcPr>
            <w:tcW w:w="2338" w:type="dxa"/>
            <w:tcBorders>
              <w:bottom w:val="single" w:sz="6" w:space="0" w:color="000000"/>
            </w:tcBorders>
            <w:vAlign w:val="bottom"/>
          </w:tcPr>
          <w:p>
            <w:pPr>
              <w:pStyle w:val="Normal"/>
              <w:widowControl w:val="false"/>
              <w:jc w:val="center"/>
              <w:rPr>
                <w:color w:val="000000"/>
                <w:szCs w:val="28"/>
              </w:rPr>
            </w:pPr>
            <w:r>
              <w:rPr>
                <w:color w:val="000000"/>
                <w:szCs w:val="28"/>
              </w:rPr>
            </w:r>
          </w:p>
        </w:tc>
        <w:tc>
          <w:tcPr>
            <w:tcW w:w="288" w:type="dxa"/>
            <w:tcBorders/>
            <w:vAlign w:val="bottom"/>
          </w:tcPr>
          <w:p>
            <w:pPr>
              <w:pStyle w:val="Normal"/>
              <w:widowControl w:val="false"/>
              <w:ind w:left="75" w:right="75" w:hanging="0"/>
              <w:jc w:val="center"/>
              <w:rPr>
                <w:color w:val="000000"/>
                <w:szCs w:val="28"/>
              </w:rPr>
            </w:pPr>
            <w:r>
              <w:rPr>
                <w:color w:val="000000"/>
                <w:szCs w:val="28"/>
              </w:rPr>
            </w:r>
          </w:p>
        </w:tc>
        <w:tc>
          <w:tcPr>
            <w:tcW w:w="2691" w:type="dxa"/>
            <w:tcBorders>
              <w:bottom w:val="single" w:sz="6" w:space="0" w:color="000000"/>
            </w:tcBorders>
            <w:vAlign w:val="bottom"/>
          </w:tcPr>
          <w:p>
            <w:pPr>
              <w:pStyle w:val="Normal"/>
              <w:widowControl w:val="false"/>
              <w:jc w:val="center"/>
              <w:rPr>
                <w:color w:val="000000"/>
                <w:szCs w:val="28"/>
              </w:rPr>
            </w:pPr>
            <w:r>
              <w:rPr>
                <w:color w:val="000000"/>
                <w:szCs w:val="28"/>
              </w:rPr>
            </w:r>
          </w:p>
        </w:tc>
        <w:tc>
          <w:tcPr>
            <w:tcW w:w="287" w:type="dxa"/>
            <w:tcBorders/>
            <w:vAlign w:val="bottom"/>
          </w:tcPr>
          <w:p>
            <w:pPr>
              <w:pStyle w:val="Normal"/>
              <w:widowControl w:val="false"/>
              <w:ind w:left="75" w:right="75" w:hanging="0"/>
              <w:jc w:val="center"/>
              <w:rPr>
                <w:color w:val="000000"/>
                <w:szCs w:val="28"/>
              </w:rPr>
            </w:pPr>
            <w:r>
              <w:rPr>
                <w:color w:val="000000"/>
                <w:szCs w:val="28"/>
              </w:rPr>
            </w:r>
          </w:p>
        </w:tc>
        <w:tc>
          <w:tcPr>
            <w:tcW w:w="3685" w:type="dxa"/>
            <w:tcBorders>
              <w:bottom w:val="single" w:sz="6" w:space="0" w:color="000000"/>
            </w:tcBorders>
            <w:vAlign w:val="bottom"/>
          </w:tcPr>
          <w:p>
            <w:pPr>
              <w:pStyle w:val="Normal"/>
              <w:widowControl w:val="false"/>
              <w:jc w:val="center"/>
              <w:rPr>
                <w:color w:val="000000"/>
                <w:szCs w:val="28"/>
              </w:rPr>
            </w:pPr>
            <w:r>
              <w:rPr>
                <w:color w:val="000000"/>
                <w:szCs w:val="28"/>
              </w:rPr>
            </w:r>
          </w:p>
        </w:tc>
      </w:tr>
      <w:tr>
        <w:trPr/>
        <w:tc>
          <w:tcPr>
            <w:tcW w:w="2338" w:type="dxa"/>
            <w:tcBorders>
              <w:top w:val="single" w:sz="6" w:space="0" w:color="000000"/>
            </w:tcBorders>
            <w:vAlign w:val="bottom"/>
          </w:tcPr>
          <w:p>
            <w:pPr>
              <w:pStyle w:val="Normal"/>
              <w:widowControl w:val="false"/>
              <w:jc w:val="center"/>
              <w:rPr>
                <w:szCs w:val="28"/>
              </w:rPr>
            </w:pPr>
            <w:r>
              <w:rPr>
                <w:color w:val="000000"/>
                <w:szCs w:val="28"/>
                <w:vertAlign w:val="superscript"/>
              </w:rPr>
              <w:t>(дата)</w:t>
            </w:r>
          </w:p>
        </w:tc>
        <w:tc>
          <w:tcPr>
            <w:tcW w:w="288" w:type="dxa"/>
            <w:tcBorders/>
            <w:vAlign w:val="bottom"/>
          </w:tcPr>
          <w:p>
            <w:pPr>
              <w:pStyle w:val="Normal"/>
              <w:widowControl w:val="false"/>
              <w:ind w:left="75" w:right="75" w:hanging="0"/>
              <w:jc w:val="center"/>
              <w:rPr>
                <w:color w:val="000000"/>
                <w:szCs w:val="28"/>
              </w:rPr>
            </w:pPr>
            <w:r>
              <w:rPr>
                <w:color w:val="000000"/>
                <w:szCs w:val="28"/>
              </w:rPr>
            </w:r>
          </w:p>
        </w:tc>
        <w:tc>
          <w:tcPr>
            <w:tcW w:w="2691" w:type="dxa"/>
            <w:tcBorders>
              <w:top w:val="single" w:sz="6" w:space="0" w:color="000000"/>
            </w:tcBorders>
            <w:vAlign w:val="bottom"/>
          </w:tcPr>
          <w:p>
            <w:pPr>
              <w:pStyle w:val="Normal"/>
              <w:widowControl w:val="false"/>
              <w:jc w:val="center"/>
              <w:rPr>
                <w:szCs w:val="28"/>
              </w:rPr>
            </w:pPr>
            <w:r>
              <w:rPr>
                <w:color w:val="000000"/>
                <w:szCs w:val="28"/>
                <w:vertAlign w:val="superscript"/>
              </w:rPr>
              <w:t>(подпись)</w:t>
            </w:r>
          </w:p>
        </w:tc>
        <w:tc>
          <w:tcPr>
            <w:tcW w:w="287" w:type="dxa"/>
            <w:tcBorders/>
            <w:vAlign w:val="bottom"/>
          </w:tcPr>
          <w:p>
            <w:pPr>
              <w:pStyle w:val="Normal"/>
              <w:widowControl w:val="false"/>
              <w:ind w:left="75" w:right="75" w:hanging="0"/>
              <w:jc w:val="center"/>
              <w:rPr>
                <w:color w:val="000000"/>
                <w:szCs w:val="28"/>
              </w:rPr>
            </w:pPr>
            <w:r>
              <w:rPr>
                <w:color w:val="000000"/>
                <w:szCs w:val="28"/>
              </w:rPr>
            </w:r>
          </w:p>
        </w:tc>
        <w:tc>
          <w:tcPr>
            <w:tcW w:w="3685" w:type="dxa"/>
            <w:tcBorders>
              <w:top w:val="single" w:sz="6" w:space="0" w:color="000000"/>
            </w:tcBorders>
            <w:vAlign w:val="bottom"/>
          </w:tcPr>
          <w:p>
            <w:pPr>
              <w:pStyle w:val="Normal"/>
              <w:widowControl w:val="false"/>
              <w:jc w:val="center"/>
              <w:rPr>
                <w:szCs w:val="28"/>
              </w:rPr>
            </w:pPr>
            <w:r>
              <w:rPr>
                <w:color w:val="000000"/>
                <w:szCs w:val="28"/>
                <w:vertAlign w:val="superscript"/>
              </w:rPr>
              <w:t>(расшифровка подписи)</w:t>
            </w:r>
          </w:p>
        </w:tc>
      </w:tr>
    </w:tbl>
    <w:p>
      <w:pPr>
        <w:pStyle w:val="Normal"/>
        <w:suppressAutoHyphens w:val="true"/>
        <w:rPr>
          <w:color w:val="000000"/>
          <w:szCs w:val="28"/>
          <w:shd w:fill="FFFFFF" w:val="clear"/>
        </w:rPr>
      </w:pPr>
      <w:r>
        <w:rPr>
          <w:color w:val="000000"/>
          <w:szCs w:val="28"/>
          <w:shd w:fill="FFFFFF" w:val="clear"/>
        </w:rPr>
      </w:r>
      <w:r>
        <w:br w:type="page"/>
      </w:r>
    </w:p>
    <w:p>
      <w:pPr>
        <w:pStyle w:val="24"/>
        <w:rPr/>
      </w:pPr>
      <w:bookmarkStart w:id="130" w:name="_Toc145919164"/>
      <w:bookmarkStart w:id="131" w:name="_Ref150243875"/>
      <w:r>
        <w:rPr/>
        <w:t>Приложение № </w:t>
      </w:r>
      <w:r>
        <w:rPr/>
        <w:fldChar w:fldCharType="begin"/>
      </w:r>
      <w:r>
        <w:rPr/>
        <w:instrText xml:space="preserve"> SEQ Приложение_№ \* ARABIC </w:instrText>
      </w:r>
      <w:r>
        <w:rPr/>
        <w:fldChar w:fldCharType="separate"/>
      </w:r>
      <w:r>
        <w:rPr/>
        <w:t>10</w:t>
      </w:r>
      <w:r>
        <w:rPr/>
        <w:fldChar w:fldCharType="end"/>
      </w:r>
      <w:bookmarkEnd w:id="131"/>
    </w:p>
    <w:p>
      <w:pPr>
        <w:pStyle w:val="Style32"/>
        <w:rPr/>
      </w:pPr>
      <w:bookmarkStart w:id="132" w:name="_Toc145919164"/>
      <w:bookmarkStart w:id="133" w:name="_Toc150263834"/>
      <w:r>
        <w:rPr/>
        <w:t>УВЕДОМЛЕНИЕ</w:t>
        <w:br/>
        <w:t>о намерении осуществлять трансграничную передачу ПД</w:t>
      </w:r>
      <w:bookmarkEnd w:id="132"/>
      <w:bookmarkEnd w:id="133"/>
    </w:p>
    <w:p>
      <w:pPr>
        <w:pStyle w:val="13"/>
        <w:jc w:val="both"/>
        <w:rPr>
          <w:color w:val="000000"/>
          <w:szCs w:val="28"/>
        </w:rPr>
      </w:pPr>
      <w:r>
        <w:rPr>
          <w:bCs/>
          <w:color w:val="000000"/>
          <w:szCs w:val="28"/>
        </w:rPr>
        <w:t>Наименование оператора:</w:t>
      </w:r>
      <w:r>
        <w:rPr>
          <w:b w:val="false"/>
          <w:color w:val="000000"/>
          <w:szCs w:val="28"/>
        </w:rPr>
        <w:t xml:space="preserve"> Автономная некоммерческая организация дополнительного профессионального образования «Техническая академия Росатома» </w:t>
      </w:r>
    </w:p>
    <w:p>
      <w:pPr>
        <w:pStyle w:val="13"/>
        <w:jc w:val="both"/>
        <w:rPr>
          <w:color w:val="000000"/>
          <w:szCs w:val="28"/>
        </w:rPr>
      </w:pPr>
      <w:r>
        <w:rPr>
          <w:bCs/>
          <w:color w:val="000000"/>
          <w:szCs w:val="28"/>
        </w:rPr>
        <w:t>ИНН:</w:t>
      </w:r>
      <w:r>
        <w:rPr>
          <w:b w:val="false"/>
          <w:color w:val="000000"/>
          <w:szCs w:val="28"/>
        </w:rPr>
        <w:t xml:space="preserve"> 4025450383 </w:t>
      </w:r>
    </w:p>
    <w:p>
      <w:pPr>
        <w:pStyle w:val="13"/>
        <w:jc w:val="both"/>
        <w:rPr>
          <w:color w:val="000000"/>
          <w:szCs w:val="28"/>
        </w:rPr>
      </w:pPr>
      <w:r>
        <w:rPr>
          <w:bCs/>
          <w:color w:val="000000"/>
          <w:szCs w:val="28"/>
        </w:rPr>
        <w:t xml:space="preserve">Адрес оператора: </w:t>
      </w:r>
      <w:r>
        <w:rPr>
          <w:b w:val="false"/>
          <w:color w:val="000000"/>
          <w:szCs w:val="28"/>
        </w:rPr>
        <w:t>249031, Калужская область, г. Обнинск, ул. Курчатова, д. 21</w:t>
      </w:r>
    </w:p>
    <w:p>
      <w:pPr>
        <w:pStyle w:val="13"/>
        <w:jc w:val="both"/>
        <w:rPr>
          <w:color w:val="000000"/>
          <w:szCs w:val="28"/>
        </w:rPr>
      </w:pPr>
      <w:r>
        <w:rPr>
          <w:bCs/>
          <w:color w:val="000000"/>
          <w:szCs w:val="28"/>
        </w:rPr>
        <w:t>Наличие в реестре операторов:</w:t>
      </w:r>
      <w:r>
        <w:rPr>
          <w:b w:val="false"/>
          <w:color w:val="000000"/>
          <w:szCs w:val="28"/>
        </w:rPr>
        <w:t xml:space="preserve"> да</w:t>
      </w:r>
    </w:p>
    <w:p>
      <w:pPr>
        <w:pStyle w:val="13"/>
        <w:jc w:val="both"/>
        <w:rPr>
          <w:color w:val="000000"/>
          <w:szCs w:val="28"/>
        </w:rPr>
      </w:pPr>
      <w:r>
        <w:rPr>
          <w:bCs/>
          <w:color w:val="000000"/>
          <w:szCs w:val="28"/>
        </w:rPr>
        <w:t>Регион регистрации:</w:t>
      </w:r>
      <w:r>
        <w:rPr>
          <w:b w:val="false"/>
          <w:color w:val="000000"/>
          <w:szCs w:val="28"/>
        </w:rPr>
        <w:t xml:space="preserve"> Калужская область; </w:t>
      </w:r>
    </w:p>
    <w:p>
      <w:pPr>
        <w:pStyle w:val="13"/>
        <w:jc w:val="both"/>
        <w:rPr>
          <w:color w:val="000000"/>
          <w:szCs w:val="28"/>
        </w:rPr>
      </w:pPr>
      <w:r>
        <w:rPr>
          <w:bCs/>
          <w:color w:val="000000"/>
          <w:szCs w:val="28"/>
        </w:rPr>
        <w:t>Адрес электронной почты:</w:t>
      </w:r>
      <w:r>
        <w:rPr>
          <w:b w:val="false"/>
          <w:color w:val="000000"/>
          <w:szCs w:val="28"/>
        </w:rPr>
        <w:t xml:space="preserve"> info@rosatom.ru</w:t>
      </w:r>
    </w:p>
    <w:p>
      <w:pPr>
        <w:pStyle w:val="13"/>
        <w:jc w:val="both"/>
        <w:rPr>
          <w:color w:val="000000"/>
          <w:szCs w:val="28"/>
        </w:rPr>
      </w:pPr>
      <w:r>
        <w:rPr>
          <w:bCs/>
          <w:color w:val="000000"/>
          <w:szCs w:val="28"/>
        </w:rPr>
        <w:t>ФИО лица, ответственного за организацию обработки персональных данных:</w:t>
      </w:r>
      <w:r>
        <w:rPr>
          <w:b w:val="false"/>
          <w:color w:val="000000"/>
          <w:szCs w:val="28"/>
        </w:rPr>
        <w:t xml:space="preserve"> Поливода Борис Иванович, </w:t>
      </w:r>
    </w:p>
    <w:p>
      <w:pPr>
        <w:pStyle w:val="13"/>
        <w:jc w:val="both"/>
        <w:rPr/>
      </w:pPr>
      <w:r>
        <w:rPr>
          <w:bCs/>
          <w:color w:val="000000"/>
          <w:szCs w:val="28"/>
        </w:rPr>
        <w:t>Номер контактного телефона, почтовые адреса и адреса электронной почты:</w:t>
      </w:r>
      <w:r>
        <w:rPr>
          <w:b w:val="false"/>
          <w:color w:val="000000"/>
          <w:szCs w:val="28"/>
        </w:rPr>
        <w:t xml:space="preserve"> 8 (48439) 29-015, 8 906 643 32 67, 249031, Калужская область, г. Обнинск, ул. Курчатова, д. 21, </w:t>
      </w:r>
      <w:hyperlink r:id="rId32">
        <w:r>
          <w:rPr>
            <w:b w:val="false"/>
            <w:color w:val="000000"/>
            <w:szCs w:val="28"/>
          </w:rPr>
          <w:t>BIPolivoda@rosatom.ru</w:t>
        </w:r>
      </w:hyperlink>
    </w:p>
    <w:p>
      <w:pPr>
        <w:pStyle w:val="13"/>
        <w:jc w:val="both"/>
        <w:rPr>
          <w:color w:val="000000"/>
          <w:szCs w:val="28"/>
        </w:rPr>
      </w:pPr>
      <w:r>
        <w:rPr>
          <w:bCs/>
          <w:color w:val="000000"/>
          <w:szCs w:val="28"/>
        </w:rPr>
        <w:t xml:space="preserve">Цели трансграничной передачи: </w:t>
      </w:r>
    </w:p>
    <w:p>
      <w:pPr>
        <w:pStyle w:val="13"/>
        <w:jc w:val="both"/>
        <w:rPr>
          <w:color w:val="000000"/>
          <w:szCs w:val="28"/>
        </w:rPr>
      </w:pPr>
      <w:r>
        <w:rPr>
          <w:b w:val="false"/>
          <w:color w:val="000000"/>
          <w:szCs w:val="28"/>
        </w:rPr>
        <w:t xml:space="preserve">1. </w:t>
      </w:r>
      <w:r>
        <w:rPr>
          <w:bCs/>
          <w:color w:val="000000"/>
          <w:szCs w:val="28"/>
        </w:rPr>
        <w:t>Цель трансграничной передачи:</w:t>
      </w:r>
      <w:r>
        <w:rPr>
          <w:b w:val="false"/>
          <w:color w:val="000000"/>
          <w:szCs w:val="28"/>
        </w:rPr>
        <w:t xml:space="preserve"> </w:t>
      </w:r>
      <w:r>
        <w:rPr>
          <w:b w:val="false"/>
          <w:i/>
          <w:color w:val="000000"/>
          <w:szCs w:val="28"/>
          <w:u w:val="single"/>
        </w:rPr>
        <w:t>Пример:</w:t>
      </w:r>
      <w:r>
        <w:rPr>
          <w:b w:val="false"/>
          <w:i/>
          <w:color w:val="000000"/>
          <w:szCs w:val="28"/>
        </w:rPr>
        <w:t xml:space="preserve"> </w:t>
      </w:r>
      <w:r>
        <w:rPr>
          <w:b w:val="false"/>
          <w:iCs w:val="false"/>
          <w:color w:val="000000"/>
          <w:szCs w:val="28"/>
        </w:rPr>
        <w:t>Заключение договора об оказании информационно-консультативных услуг</w:t>
      </w:r>
    </w:p>
    <w:p>
      <w:pPr>
        <w:pStyle w:val="13"/>
        <w:jc w:val="both"/>
        <w:rPr>
          <w:color w:val="000000"/>
          <w:szCs w:val="28"/>
        </w:rPr>
      </w:pPr>
      <w:r>
        <w:rPr>
          <w:bCs/>
          <w:color w:val="000000"/>
          <w:szCs w:val="28"/>
        </w:rPr>
        <w:t>Правовое основание трансграничной передачи:</w:t>
      </w:r>
      <w:r>
        <w:rPr>
          <w:b w:val="false"/>
          <w:color w:val="000000"/>
          <w:szCs w:val="28"/>
        </w:rPr>
        <w:t xml:space="preserve"> </w:t>
      </w:r>
      <w:r>
        <w:rPr>
          <w:b w:val="false"/>
          <w:i/>
          <w:color w:val="000000"/>
          <w:szCs w:val="28"/>
          <w:u w:val="single"/>
        </w:rPr>
        <w:t xml:space="preserve">Пример: </w:t>
      </w:r>
      <w:r>
        <w:rPr>
          <w:b w:val="false"/>
          <w:color w:val="000000"/>
          <w:szCs w:val="28"/>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w:t>
      </w:r>
    </w:p>
    <w:p>
      <w:pPr>
        <w:pStyle w:val="13"/>
        <w:jc w:val="both"/>
        <w:rPr>
          <w:color w:val="000000"/>
          <w:szCs w:val="28"/>
        </w:rPr>
      </w:pPr>
      <w:r>
        <w:rPr>
          <w:bCs/>
          <w:color w:val="000000"/>
          <w:szCs w:val="28"/>
        </w:rPr>
        <w:t>Категории передаваемых персональных данных:</w:t>
      </w:r>
      <w:r>
        <w:rPr>
          <w:b w:val="false"/>
          <w:color w:val="000000"/>
          <w:szCs w:val="28"/>
        </w:rPr>
        <w:t xml:space="preserve"> </w:t>
      </w:r>
    </w:p>
    <w:p>
      <w:pPr>
        <w:pStyle w:val="13"/>
        <w:jc w:val="both"/>
        <w:rPr>
          <w:color w:val="000000"/>
          <w:szCs w:val="28"/>
        </w:rPr>
      </w:pPr>
      <w:r>
        <w:rPr>
          <w:bCs/>
          <w:color w:val="000000"/>
          <w:szCs w:val="28"/>
        </w:rPr>
        <w:t xml:space="preserve">Персональные данные: </w:t>
      </w:r>
      <w:r>
        <w:rPr>
          <w:b w:val="false"/>
          <w:color w:val="000000"/>
          <w:szCs w:val="28"/>
        </w:rPr>
        <w:t xml:space="preserve">фамилия, имя, отчество; год рождения; месяц рождения; дата рождения; пол; адрес электронной почты; номер телефона; гражданство; данные документа, удостоверяющего личность за пределами Российской Федерации; профессия; должность </w:t>
      </w:r>
      <w:r>
        <w:rPr>
          <w:b w:val="false"/>
          <w:i/>
          <w:color w:val="000000"/>
          <w:szCs w:val="28"/>
        </w:rPr>
        <w:t xml:space="preserve">(выбрать необходимое); </w:t>
      </w:r>
    </w:p>
    <w:p>
      <w:pPr>
        <w:pStyle w:val="13"/>
        <w:jc w:val="both"/>
        <w:rPr>
          <w:color w:val="000000"/>
          <w:szCs w:val="28"/>
        </w:rPr>
      </w:pPr>
      <w:r>
        <w:rPr>
          <w:bCs/>
          <w:color w:val="000000"/>
          <w:szCs w:val="28"/>
        </w:rPr>
        <w:t>Категории субъектов ПД, персональные данные которых передаются:</w:t>
      </w:r>
      <w:r>
        <w:rPr>
          <w:b w:val="false"/>
          <w:color w:val="000000"/>
          <w:szCs w:val="28"/>
        </w:rPr>
        <w:t xml:space="preserve"> </w:t>
      </w:r>
      <w:r>
        <w:rPr>
          <w:b w:val="false"/>
          <w:i/>
          <w:color w:val="000000"/>
          <w:szCs w:val="28"/>
          <w:u w:val="single"/>
        </w:rPr>
        <w:t>либо Работники, либо Обучающиеся (слушатели), либо укажите иную категорию;</w:t>
      </w:r>
      <w:r>
        <w:rPr>
          <w:b w:val="false"/>
          <w:i/>
          <w:color w:val="000000"/>
          <w:szCs w:val="28"/>
          <w:u w:val="single"/>
          <w:shd w:fill="FFFF00" w:val="clear"/>
        </w:rPr>
        <w:t xml:space="preserve"> </w:t>
      </w:r>
    </w:p>
    <w:p>
      <w:pPr>
        <w:pStyle w:val="13"/>
        <w:jc w:val="both"/>
        <w:rPr>
          <w:color w:val="000000"/>
          <w:szCs w:val="28"/>
        </w:rPr>
      </w:pPr>
      <w:r>
        <w:rPr>
          <w:bCs/>
          <w:color w:val="000000"/>
          <w:szCs w:val="28"/>
        </w:rPr>
        <w:t>Перечень иностранных государств, обеспечивающих адекватную защиту прав субъектов персональных данных:</w:t>
      </w:r>
      <w:r>
        <w:rPr>
          <w:b w:val="false"/>
          <w:color w:val="000000"/>
          <w:szCs w:val="28"/>
        </w:rPr>
        <w:t xml:space="preserve"> </w:t>
      </w:r>
      <w:r>
        <w:rPr>
          <w:b w:val="false"/>
          <w:i/>
          <w:color w:val="000000"/>
          <w:szCs w:val="28"/>
        </w:rPr>
        <w:t>Указываем страну, куда будем передавать ПДн (пример: Армения; Белоруссия; Сербия; Турция).</w:t>
      </w:r>
    </w:p>
    <w:p>
      <w:pPr>
        <w:pStyle w:val="13"/>
        <w:jc w:val="both"/>
        <w:rPr>
          <w:color w:val="000000"/>
          <w:szCs w:val="28"/>
        </w:rPr>
      </w:pPr>
      <w:r>
        <w:rPr>
          <w:bCs/>
          <w:color w:val="000000"/>
          <w:szCs w:val="28"/>
        </w:rPr>
        <w:t>Дата окончания проведения оценки:</w:t>
      </w:r>
      <w:r>
        <w:rPr>
          <w:b w:val="false"/>
          <w:color w:val="000000"/>
          <w:szCs w:val="28"/>
        </w:rPr>
        <w:t xml:space="preserve"> ____________ г. </w:t>
      </w:r>
      <w:r>
        <w:rPr>
          <w:b w:val="false"/>
          <w:i/>
          <w:color w:val="000000"/>
          <w:szCs w:val="28"/>
        </w:rPr>
        <w:t>(указывается дата регистрации входящих документов от иностранного контрагента, испрашиваемых у него в соответствии с пунктом 7.26 Положения).</w:t>
      </w:r>
    </w:p>
    <w:p>
      <w:pPr>
        <w:pStyle w:val="13"/>
        <w:ind w:left="6096" w:hanging="0"/>
        <w:jc w:val="both"/>
        <w:rPr>
          <w:bCs/>
          <w:color w:val="000000"/>
          <w:shd w:fill="FFFF00" w:val="clear"/>
        </w:rPr>
      </w:pPr>
      <w:r>
        <w:rPr>
          <w:bCs/>
          <w:color w:val="000000"/>
          <w:shd w:fill="FFFF00" w:val="clear"/>
        </w:rPr>
      </w:r>
    </w:p>
    <w:p>
      <w:pPr>
        <w:pStyle w:val="Normal"/>
        <w:suppressAutoHyphens w:val="true"/>
        <w:rPr>
          <w:b/>
          <w:b/>
          <w:iCs/>
          <w:color w:val="000000"/>
          <w:szCs w:val="24"/>
        </w:rPr>
      </w:pPr>
      <w:r>
        <w:rPr>
          <w:b/>
          <w:iCs/>
          <w:color w:val="000000"/>
          <w:szCs w:val="24"/>
        </w:rPr>
      </w:r>
      <w:r>
        <w:br w:type="page"/>
      </w:r>
    </w:p>
    <w:p>
      <w:pPr>
        <w:pStyle w:val="24"/>
        <w:rPr/>
      </w:pPr>
      <w:bookmarkStart w:id="134" w:name="_Ref150243890"/>
      <w:r>
        <w:rPr/>
        <w:t>Приложение № </w:t>
      </w:r>
      <w:r>
        <w:rPr/>
        <w:fldChar w:fldCharType="begin"/>
      </w:r>
      <w:r>
        <w:rPr/>
        <w:instrText xml:space="preserve"> SEQ Приложение_№ \* ARABIC </w:instrText>
      </w:r>
      <w:r>
        <w:rPr/>
        <w:fldChar w:fldCharType="separate"/>
      </w:r>
      <w:r>
        <w:rPr/>
        <w:t>11</w:t>
      </w:r>
      <w:r>
        <w:rPr/>
        <w:fldChar w:fldCharType="end"/>
      </w:r>
      <w:bookmarkEnd w:id="134"/>
    </w:p>
    <w:p>
      <w:pPr>
        <w:pStyle w:val="Normal"/>
        <w:tabs>
          <w:tab w:val="clear" w:pos="720"/>
          <w:tab w:val="left" w:pos="8080" w:leader="none"/>
          <w:tab w:val="left" w:pos="9639" w:leader="none"/>
        </w:tabs>
        <w:ind w:left="5670" w:right="-1" w:hanging="0"/>
        <w:rPr>
          <w:color w:val="000000"/>
        </w:rPr>
      </w:pPr>
      <w:r>
        <w:rPr>
          <w:color w:val="000000"/>
        </w:rPr>
        <w:t>Наименование подразделения</w:t>
      </w:r>
    </w:p>
    <w:p>
      <w:pPr>
        <w:pStyle w:val="Style32"/>
        <w:rPr/>
      </w:pPr>
      <w:bookmarkStart w:id="135" w:name="_Toc150263835"/>
      <w:bookmarkStart w:id="136" w:name="_Toc145919165"/>
      <w:r>
        <w:rPr/>
        <w:t>Акт об удалении (уничтожении) информации,</w:t>
      </w:r>
      <w:bookmarkStart w:id="137" w:name="_Toc1005889462"/>
      <w:r>
        <w:rPr/>
        <w:br/>
        <w:t>содержащей персональные данные</w:t>
      </w:r>
      <w:bookmarkEnd w:id="135"/>
      <w:bookmarkEnd w:id="136"/>
      <w:bookmarkEnd w:id="137"/>
    </w:p>
    <w:tbl>
      <w:tblPr>
        <w:tblStyle w:val="affb"/>
        <w:tblW w:w="9624" w:type="dxa"/>
        <w:jc w:val="left"/>
        <w:tblInd w:w="14" w:type="dxa"/>
        <w:tblLayout w:type="fixed"/>
        <w:tblCellMar>
          <w:top w:w="0" w:type="dxa"/>
          <w:left w:w="108" w:type="dxa"/>
          <w:bottom w:w="0" w:type="dxa"/>
          <w:right w:w="108" w:type="dxa"/>
        </w:tblCellMar>
        <w:tblLook w:val="04a0" w:noVBand="1" w:noHBand="0" w:lastColumn="0" w:firstColumn="1" w:lastRow="0" w:firstRow="1"/>
      </w:tblPr>
      <w:tblGrid>
        <w:gridCol w:w="4812"/>
        <w:gridCol w:w="4811"/>
      </w:tblGrid>
      <w:tr>
        <w:trPr/>
        <w:tc>
          <w:tcPr>
            <w:tcW w:w="4812" w:type="dxa"/>
            <w:tcBorders>
              <w:top w:val="nil"/>
              <w:left w:val="nil"/>
              <w:bottom w:val="nil"/>
              <w:right w:val="nil"/>
            </w:tcBorders>
          </w:tcPr>
          <w:p>
            <w:pPr>
              <w:pStyle w:val="Normal"/>
              <w:widowControl/>
              <w:spacing w:before="0" w:after="0"/>
              <w:ind w:right="7" w:hanging="0"/>
              <w:jc w:val="left"/>
              <w:rPr>
                <w:rFonts w:ascii="Times New Roman" w:hAnsi="Times New Roman" w:cs="Times New Roman"/>
                <w:color w:val="000000"/>
              </w:rPr>
            </w:pPr>
            <w:r>
              <w:rPr>
                <w:rFonts w:eastAsia="Calibri" w:cs="Times New Roman"/>
                <w:color w:val="000000"/>
                <w:kern w:val="0"/>
                <w:szCs w:val="28"/>
                <w:lang w:val="ru-RU" w:eastAsia="en-US" w:bidi="ar-SA"/>
              </w:rPr>
              <w:t>___________20г</w:t>
            </w:r>
          </w:p>
        </w:tc>
        <w:tc>
          <w:tcPr>
            <w:tcW w:w="4811" w:type="dxa"/>
            <w:tcBorders>
              <w:top w:val="nil"/>
              <w:left w:val="nil"/>
              <w:bottom w:val="nil"/>
              <w:right w:val="nil"/>
            </w:tcBorders>
          </w:tcPr>
          <w:p>
            <w:pPr>
              <w:pStyle w:val="Normal"/>
              <w:widowControl/>
              <w:spacing w:before="0" w:after="0"/>
              <w:ind w:right="7" w:hanging="0"/>
              <w:jc w:val="right"/>
              <w:rPr>
                <w:rFonts w:ascii="Times New Roman" w:hAnsi="Times New Roman" w:cs="Times New Roman"/>
                <w:color w:val="000000"/>
              </w:rPr>
            </w:pPr>
            <w:r>
              <w:rPr>
                <w:rFonts w:eastAsia="Calibri" w:cs="Times New Roman"/>
                <w:color w:val="000000"/>
                <w:kern w:val="0"/>
                <w:szCs w:val="28"/>
                <w:lang w:val="ru-RU" w:eastAsia="en-US" w:bidi="ar-SA"/>
              </w:rPr>
              <w:t>№</w:t>
            </w:r>
            <w:r>
              <w:rPr>
                <w:rFonts w:eastAsia="Calibri" w:cs="Times New Roman"/>
                <w:color w:val="000000"/>
                <w:kern w:val="0"/>
                <w:szCs w:val="28"/>
                <w:lang w:val="ru-RU" w:eastAsia="en-US" w:bidi="ar-SA"/>
              </w:rPr>
              <w:t>_____________</w:t>
            </w:r>
          </w:p>
        </w:tc>
      </w:tr>
    </w:tbl>
    <w:p>
      <w:pPr>
        <w:pStyle w:val="Normal"/>
        <w:ind w:left="14" w:right="7" w:firstLine="4"/>
        <w:rPr>
          <w:color w:val="000000"/>
          <w:szCs w:val="28"/>
        </w:rPr>
      </w:pPr>
      <w:r>
        <w:rPr>
          <w:color w:val="000000"/>
          <w:szCs w:val="28"/>
        </w:rPr>
      </w:r>
    </w:p>
    <w:p>
      <w:pPr>
        <w:pStyle w:val="Normal"/>
        <w:ind w:left="14" w:right="7" w:firstLine="4"/>
        <w:rPr>
          <w:color w:val="000000"/>
        </w:rPr>
      </w:pPr>
      <w:r>
        <w:rPr>
          <w:color w:val="000000"/>
          <w:szCs w:val="28"/>
        </w:rPr>
        <w:tab/>
        <w:t>Настоящий Акт составлен комиссией, созданной на основании Распоряжения №___ от _____ в составе:</w:t>
      </w:r>
    </w:p>
    <w:p>
      <w:pPr>
        <w:pStyle w:val="Normal"/>
        <w:ind w:left="14" w:right="7" w:firstLine="4"/>
        <w:rPr>
          <w:color w:val="000000"/>
          <w:szCs w:val="28"/>
        </w:rPr>
      </w:pPr>
      <w:r>
        <w:rPr>
          <w:color w:val="000000"/>
          <w:szCs w:val="28"/>
        </w:rPr>
      </w:r>
    </w:p>
    <w:p>
      <w:pPr>
        <w:pStyle w:val="Normal"/>
        <w:ind w:left="14" w:right="7" w:firstLine="4"/>
        <w:rPr>
          <w:color w:val="000000"/>
        </w:rPr>
      </w:pPr>
      <w:r>
        <w:rPr>
          <w:b/>
          <w:bCs/>
          <w:color w:val="000000"/>
          <w:szCs w:val="28"/>
        </w:rPr>
        <w:t>Председатель комиссии:</w:t>
      </w:r>
      <w:r>
        <w:rPr>
          <w:color w:val="000000"/>
          <w:szCs w:val="28"/>
        </w:rPr>
        <w:t xml:space="preserve"> ____________(должность, </w:t>
      </w:r>
      <w:r>
        <w:rPr>
          <w:color w:val="000000"/>
          <w:sz w:val="22"/>
          <w:szCs w:val="22"/>
        </w:rPr>
        <w:t>наименование структурного подразделения АНО ДПО «Техническая Академия Росатома»</w:t>
      </w:r>
      <w:r>
        <w:rPr>
          <w:color w:val="000000"/>
          <w:szCs w:val="28"/>
        </w:rPr>
        <w:t>) __________________ (ФИО)</w:t>
      </w:r>
    </w:p>
    <w:p>
      <w:pPr>
        <w:pStyle w:val="Normal"/>
        <w:ind w:left="14" w:right="7" w:firstLine="4"/>
        <w:rPr>
          <w:color w:val="000000"/>
          <w:szCs w:val="28"/>
        </w:rPr>
      </w:pPr>
      <w:r>
        <w:rPr>
          <w:color w:val="000000"/>
          <w:szCs w:val="28"/>
        </w:rPr>
      </w:r>
    </w:p>
    <w:p>
      <w:pPr>
        <w:pStyle w:val="Normal"/>
        <w:ind w:left="14" w:right="7" w:firstLine="4"/>
        <w:rPr>
          <w:color w:val="000000"/>
        </w:rPr>
      </w:pPr>
      <w:r>
        <w:rPr>
          <w:b/>
          <w:bCs/>
          <w:color w:val="000000"/>
          <w:szCs w:val="28"/>
        </w:rPr>
        <w:t>Члены комиссии:</w:t>
      </w:r>
      <w:r>
        <w:rPr>
          <w:color w:val="000000"/>
          <w:szCs w:val="28"/>
        </w:rPr>
        <w:t xml:space="preserve"> ____________(должность, </w:t>
      </w:r>
      <w:r>
        <w:rPr>
          <w:color w:val="000000"/>
          <w:sz w:val="22"/>
          <w:szCs w:val="22"/>
        </w:rPr>
        <w:t>наименование структурного подразделения АНО ДПО «Техническая Академия Росатома»</w:t>
      </w:r>
      <w:r>
        <w:rPr>
          <w:color w:val="000000"/>
          <w:szCs w:val="28"/>
        </w:rPr>
        <w:t>) __________________ (ФИО);</w:t>
      </w:r>
    </w:p>
    <w:p>
      <w:pPr>
        <w:pStyle w:val="Normal"/>
        <w:ind w:left="14" w:right="7" w:firstLine="4"/>
        <w:rPr>
          <w:color w:val="000000"/>
        </w:rPr>
      </w:pPr>
      <w:r>
        <w:rPr>
          <w:color w:val="000000"/>
          <w:szCs w:val="28"/>
        </w:rPr>
        <w:t xml:space="preserve">____________(должность, </w:t>
      </w:r>
      <w:r>
        <w:rPr>
          <w:color w:val="000000"/>
          <w:sz w:val="22"/>
          <w:szCs w:val="22"/>
        </w:rPr>
        <w:t>наименование структурного подразделения АНО ДПО «Техническая Академия Росатома»</w:t>
      </w:r>
      <w:r>
        <w:rPr>
          <w:color w:val="000000"/>
          <w:szCs w:val="28"/>
        </w:rPr>
        <w:t>) __________________ (ФИО).</w:t>
      </w:r>
    </w:p>
    <w:p>
      <w:pPr>
        <w:pStyle w:val="Normal"/>
        <w:ind w:left="14" w:right="7" w:firstLine="4"/>
        <w:rPr>
          <w:color w:val="000000"/>
          <w:szCs w:val="28"/>
        </w:rPr>
      </w:pPr>
      <w:r>
        <w:rPr>
          <w:color w:val="000000"/>
          <w:szCs w:val="28"/>
        </w:rPr>
      </w:r>
    </w:p>
    <w:p>
      <w:pPr>
        <w:pStyle w:val="Normal"/>
        <w:ind w:left="64" w:right="-2" w:hanging="0"/>
        <w:jc w:val="both"/>
        <w:rPr>
          <w:color w:val="000000"/>
        </w:rPr>
      </w:pPr>
      <w:r>
        <w:rPr>
          <w:color w:val="000000"/>
          <w:szCs w:val="28"/>
        </w:rPr>
        <w:t>Актом комиссия подтверждает, что оператор — АНО ДПО «Техническая академия Росатома», ОГРН___, ИНН______, юридический адрес: 249031, Калужская область, г. Обнинск, ул. Курчатова, д. 21, уничтожил персональные данные (далее - ПДн), обрабатываемые в информационной системе персональных данных и (или)* в виде файлов на автоматизированных рабочих местах (далее – АРМ), а также на материальных носителях, следующих Субъектов:</w:t>
      </w:r>
    </w:p>
    <w:tbl>
      <w:tblPr>
        <w:tblStyle w:val="TableGrid"/>
        <w:tblW w:w="5000" w:type="pct"/>
        <w:jc w:val="left"/>
        <w:tblInd w:w="20" w:type="dxa"/>
        <w:tblLayout w:type="fixed"/>
        <w:tblCellMar>
          <w:top w:w="17" w:type="dxa"/>
          <w:left w:w="17" w:type="dxa"/>
          <w:bottom w:w="0" w:type="dxa"/>
          <w:right w:w="2" w:type="dxa"/>
        </w:tblCellMar>
        <w:tblLook w:val="04a0" w:noVBand="1" w:noHBand="0" w:lastColumn="0" w:firstColumn="1" w:lastRow="0" w:firstRow="1"/>
      </w:tblPr>
      <w:tblGrid>
        <w:gridCol w:w="580"/>
        <w:gridCol w:w="2892"/>
        <w:gridCol w:w="2073"/>
        <w:gridCol w:w="1698"/>
        <w:gridCol w:w="2394"/>
      </w:tblGrid>
      <w:tr>
        <w:trPr>
          <w:trHeight w:val="1808" w:hRule="atLeast"/>
        </w:trPr>
        <w:tc>
          <w:tcPr>
            <w:tcW w:w="580"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ind w:firstLine="137"/>
              <w:jc w:val="left"/>
              <w:rPr>
                <w:rFonts w:ascii="Times New Roman" w:hAnsi="Times New Roman" w:cs="Times New Roman"/>
                <w:color w:val="000000"/>
              </w:rPr>
            </w:pPr>
            <w:r>
              <w:rPr>
                <w:rFonts w:eastAsia="" w:cs="Times New Roman"/>
                <w:color w:val="000000"/>
                <w:kern w:val="0"/>
                <w:sz w:val="24"/>
                <w:szCs w:val="24"/>
                <w:lang w:val="ru-RU" w:eastAsia="ru-RU" w:bidi="ar-SA"/>
              </w:rPr>
              <w:t>№</w:t>
            </w:r>
          </w:p>
        </w:tc>
        <w:tc>
          <w:tcPr>
            <w:tcW w:w="2892"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jc w:val="left"/>
              <w:rPr>
                <w:rFonts w:ascii="Times New Roman" w:hAnsi="Times New Roman" w:cs="Times New Roman"/>
                <w:color w:val="000000"/>
              </w:rPr>
            </w:pPr>
            <w:r>
              <w:rPr>
                <w:rFonts w:eastAsia="" w:cs="Times New Roman"/>
                <w:color w:val="000000"/>
                <w:kern w:val="0"/>
                <w:sz w:val="24"/>
                <w:szCs w:val="24"/>
                <w:lang w:val="ru-RU" w:eastAsia="ru-RU" w:bidi="ar-SA"/>
              </w:rPr>
              <w:t>Наименование информационной системы (места хранения ПДн)/</w:t>
            </w:r>
          </w:p>
          <w:p>
            <w:pPr>
              <w:pStyle w:val="Normal"/>
              <w:widowControl/>
              <w:spacing w:before="0" w:after="0"/>
              <w:ind w:left="22" w:hanging="0"/>
              <w:jc w:val="left"/>
              <w:rPr>
                <w:rFonts w:ascii="Times New Roman" w:hAnsi="Times New Roman" w:cs="Times New Roman"/>
                <w:color w:val="000000"/>
              </w:rPr>
            </w:pPr>
            <w:r>
              <w:rPr>
                <w:rFonts w:eastAsia="" w:cs="Times New Roman"/>
                <w:color w:val="000000"/>
                <w:kern w:val="0"/>
                <w:sz w:val="24"/>
                <w:szCs w:val="24"/>
                <w:lang w:val="ru-RU" w:eastAsia="ru-RU" w:bidi="ar-SA"/>
              </w:rPr>
              <w:t>Наименование файла</w:t>
            </w:r>
          </w:p>
          <w:p>
            <w:pPr>
              <w:pStyle w:val="Normal"/>
              <w:widowControl/>
              <w:spacing w:before="0" w:after="0"/>
              <w:ind w:right="36" w:hanging="0"/>
              <w:jc w:val="left"/>
              <w:rPr>
                <w:rFonts w:ascii="Times New Roman" w:hAnsi="Times New Roman" w:cs="Times New Roman"/>
                <w:color w:val="000000"/>
              </w:rPr>
            </w:pPr>
            <w:r>
              <w:rPr>
                <w:rFonts w:eastAsia="" w:cs="Times New Roman"/>
                <w:color w:val="000000"/>
                <w:kern w:val="0"/>
                <w:sz w:val="24"/>
                <w:szCs w:val="24"/>
                <w:lang w:val="ru-RU" w:eastAsia="ru-RU" w:bidi="ar-SA"/>
              </w:rPr>
              <w:t>АРМ и серийный номер АРМ/наименование материального носитель (CD диск, бумажный носитель с указанием количества листов)</w:t>
            </w:r>
          </w:p>
        </w:tc>
        <w:tc>
          <w:tcPr>
            <w:tcW w:w="2073"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jc w:val="left"/>
              <w:rPr>
                <w:rFonts w:ascii="Times New Roman" w:hAnsi="Times New Roman" w:cs="Times New Roman"/>
                <w:color w:val="000000"/>
              </w:rPr>
            </w:pPr>
            <w:r>
              <w:rPr>
                <w:rFonts w:eastAsia="" w:cs="Times New Roman"/>
                <w:color w:val="000000"/>
                <w:kern w:val="0"/>
                <w:sz w:val="24"/>
                <w:szCs w:val="24"/>
                <w:lang w:val="ru-RU" w:eastAsia="ru-RU" w:bidi="ar-SA"/>
              </w:rPr>
              <w:t>Фамилия, имя, отчество субъекта ПДн</w:t>
            </w:r>
          </w:p>
        </w:tc>
        <w:tc>
          <w:tcPr>
            <w:tcW w:w="1698"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ind w:left="48" w:hanging="29"/>
              <w:jc w:val="left"/>
              <w:rPr>
                <w:rFonts w:ascii="Times New Roman" w:hAnsi="Times New Roman" w:cs="Times New Roman"/>
                <w:color w:val="000000"/>
              </w:rPr>
            </w:pPr>
            <w:r>
              <w:rPr>
                <w:rFonts w:eastAsia="" w:cs="Times New Roman"/>
                <w:color w:val="000000"/>
                <w:kern w:val="0"/>
                <w:sz w:val="24"/>
                <w:szCs w:val="24"/>
                <w:lang w:val="ru-RU" w:eastAsia="ru-RU" w:bidi="ar-SA"/>
              </w:rPr>
              <w:t>Дата уничтожения персональных данных</w:t>
            </w:r>
          </w:p>
        </w:tc>
        <w:tc>
          <w:tcPr>
            <w:tcW w:w="2394"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jc w:val="left"/>
              <w:rPr>
                <w:rFonts w:ascii="Times New Roman" w:hAnsi="Times New Roman" w:cs="Times New Roman"/>
                <w:color w:val="000000"/>
              </w:rPr>
            </w:pPr>
            <w:r>
              <w:rPr>
                <w:rFonts w:eastAsia="" w:cs="Times New Roman"/>
                <w:color w:val="000000"/>
                <w:kern w:val="0"/>
                <w:sz w:val="24"/>
                <w:szCs w:val="24"/>
                <w:lang w:val="ru-RU" w:eastAsia="ru-RU" w:bidi="ar-SA"/>
              </w:rPr>
              <w:t>Способ уничтожения</w:t>
            </w:r>
          </w:p>
        </w:tc>
      </w:tr>
      <w:tr>
        <w:trPr>
          <w:trHeight w:val="281" w:hRule="atLeast"/>
        </w:trPr>
        <w:tc>
          <w:tcPr>
            <w:tcW w:w="580"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ind w:left="7" w:hanging="0"/>
              <w:jc w:val="center"/>
              <w:rPr>
                <w:rFonts w:ascii="Times New Roman" w:hAnsi="Times New Roman" w:cs="Times New Roman"/>
                <w:color w:val="000000"/>
              </w:rPr>
            </w:pPr>
            <w:r>
              <w:rPr>
                <w:rFonts w:eastAsia="" w:cs="Times New Roman"/>
                <w:color w:val="000000"/>
                <w:kern w:val="0"/>
                <w:sz w:val="24"/>
                <w:szCs w:val="24"/>
                <w:lang w:val="ru-RU" w:eastAsia="ru-RU" w:bidi="ar-SA"/>
              </w:rPr>
              <w:t>1</w:t>
            </w:r>
          </w:p>
        </w:tc>
        <w:tc>
          <w:tcPr>
            <w:tcW w:w="2892"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ind w:right="36" w:hanging="0"/>
              <w:jc w:val="center"/>
              <w:rPr>
                <w:rFonts w:ascii="Times New Roman" w:hAnsi="Times New Roman" w:cs="Times New Roman"/>
                <w:color w:val="000000"/>
              </w:rPr>
            </w:pPr>
            <w:r>
              <w:rPr>
                <w:rFonts w:eastAsia="" w:cs="Times New Roman"/>
                <w:color w:val="000000"/>
                <w:kern w:val="0"/>
                <w:sz w:val="24"/>
                <w:szCs w:val="24"/>
                <w:lang w:val="ru-RU" w:eastAsia="ru-RU" w:bidi="ar-SA"/>
              </w:rPr>
              <w:t>2</w:t>
            </w:r>
          </w:p>
        </w:tc>
        <w:tc>
          <w:tcPr>
            <w:tcW w:w="2073"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ind w:left="372" w:hanging="0"/>
              <w:jc w:val="center"/>
              <w:rPr>
                <w:rFonts w:ascii="Times New Roman" w:hAnsi="Times New Roman" w:cs="Times New Roman"/>
                <w:color w:val="000000"/>
              </w:rPr>
            </w:pPr>
            <w:r>
              <w:rPr>
                <w:rFonts w:eastAsia="" w:cs="Times New Roman"/>
                <w:color w:val="000000"/>
                <w:kern w:val="0"/>
                <w:sz w:val="24"/>
                <w:szCs w:val="24"/>
                <w:lang w:val="ru-RU" w:eastAsia="ru-RU" w:bidi="ar-SA"/>
              </w:rPr>
              <w:t>3</w:t>
            </w:r>
          </w:p>
        </w:tc>
        <w:tc>
          <w:tcPr>
            <w:tcW w:w="1698"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ind w:left="228" w:hanging="0"/>
              <w:jc w:val="center"/>
              <w:rPr>
                <w:rFonts w:ascii="Times New Roman" w:hAnsi="Times New Roman" w:cs="Times New Roman"/>
                <w:color w:val="000000"/>
              </w:rPr>
            </w:pPr>
            <w:r>
              <w:rPr>
                <w:rFonts w:eastAsia="" w:cs="Times New Roman"/>
                <w:color w:val="000000"/>
                <w:kern w:val="0"/>
                <w:sz w:val="24"/>
                <w:szCs w:val="24"/>
                <w:lang w:val="ru-RU" w:eastAsia="ru-RU" w:bidi="ar-SA"/>
              </w:rPr>
              <w:t>4</w:t>
            </w:r>
          </w:p>
        </w:tc>
        <w:tc>
          <w:tcPr>
            <w:tcW w:w="2394"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ind w:right="22" w:hanging="0"/>
              <w:jc w:val="center"/>
              <w:rPr>
                <w:rFonts w:ascii="Times New Roman" w:hAnsi="Times New Roman" w:cs="Times New Roman"/>
                <w:color w:val="000000"/>
              </w:rPr>
            </w:pPr>
            <w:r>
              <w:rPr>
                <w:rFonts w:eastAsia="" w:cs="Times New Roman"/>
                <w:color w:val="000000"/>
                <w:kern w:val="0"/>
                <w:sz w:val="24"/>
                <w:szCs w:val="24"/>
                <w:lang w:val="ru-RU" w:eastAsia="ru-RU" w:bidi="ar-SA"/>
              </w:rPr>
              <w:t>5</w:t>
            </w:r>
          </w:p>
        </w:tc>
      </w:tr>
      <w:tr>
        <w:trPr>
          <w:trHeight w:val="310" w:hRule="atLeast"/>
        </w:trPr>
        <w:tc>
          <w:tcPr>
            <w:tcW w:w="580"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jc w:val="center"/>
              <w:rPr>
                <w:rFonts w:ascii="Times New Roman" w:hAnsi="Times New Roman" w:cs="Times New Roman"/>
                <w:color w:val="000000"/>
                <w:szCs w:val="28"/>
              </w:rPr>
            </w:pPr>
            <w:r>
              <w:rPr>
                <w:rFonts w:eastAsia="" w:cs="Times New Roman"/>
                <w:color w:val="000000"/>
                <w:kern w:val="0"/>
                <w:szCs w:val="22"/>
                <w:lang w:val="ru-RU" w:eastAsia="ru-RU" w:bidi="ar-SA"/>
              </w:rPr>
            </w:r>
          </w:p>
        </w:tc>
        <w:tc>
          <w:tcPr>
            <w:tcW w:w="2892"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jc w:val="center"/>
              <w:rPr>
                <w:rFonts w:ascii="Times New Roman" w:hAnsi="Times New Roman" w:cs="Times New Roman"/>
                <w:color w:val="000000"/>
                <w:szCs w:val="28"/>
              </w:rPr>
            </w:pPr>
            <w:r>
              <w:rPr>
                <w:rFonts w:eastAsia="" w:cs="Times New Roman"/>
                <w:color w:val="000000"/>
                <w:kern w:val="0"/>
                <w:szCs w:val="22"/>
                <w:lang w:val="ru-RU" w:eastAsia="ru-RU" w:bidi="ar-SA"/>
              </w:rPr>
            </w:r>
          </w:p>
        </w:tc>
        <w:tc>
          <w:tcPr>
            <w:tcW w:w="2073"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jc w:val="center"/>
              <w:rPr>
                <w:rFonts w:ascii="Times New Roman" w:hAnsi="Times New Roman" w:cs="Times New Roman"/>
                <w:color w:val="000000"/>
                <w:szCs w:val="28"/>
              </w:rPr>
            </w:pPr>
            <w:r>
              <w:rPr>
                <w:rFonts w:eastAsia="" w:cs="Times New Roman"/>
                <w:color w:val="000000"/>
                <w:kern w:val="0"/>
                <w:szCs w:val="22"/>
                <w:lang w:val="ru-RU" w:eastAsia="ru-RU" w:bidi="ar-SA"/>
              </w:rPr>
            </w:r>
          </w:p>
        </w:tc>
        <w:tc>
          <w:tcPr>
            <w:tcW w:w="1698"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jc w:val="center"/>
              <w:rPr>
                <w:rFonts w:ascii="Times New Roman" w:hAnsi="Times New Roman" w:cs="Times New Roman"/>
                <w:color w:val="000000"/>
              </w:rPr>
            </w:pPr>
            <w:r>
              <w:rPr>
                <w:rFonts w:eastAsia="" w:cs="Times New Roman"/>
                <w:color w:val="000000"/>
                <w:kern w:val="0"/>
                <w:szCs w:val="28"/>
                <w:lang w:val="ru-RU" w:eastAsia="ru-RU" w:bidi="ar-SA"/>
              </w:rPr>
              <w:t>00.00.0000</w:t>
            </w:r>
          </w:p>
        </w:tc>
        <w:tc>
          <w:tcPr>
            <w:tcW w:w="2394" w:type="dxa"/>
            <w:tcBorders>
              <w:top w:val="single" w:sz="2" w:space="0" w:color="000000"/>
              <w:left w:val="single" w:sz="2" w:space="0" w:color="000000"/>
              <w:bottom w:val="single" w:sz="2" w:space="0" w:color="000000"/>
              <w:right w:val="single" w:sz="2" w:space="0" w:color="000000"/>
            </w:tcBorders>
          </w:tcPr>
          <w:p>
            <w:pPr>
              <w:pStyle w:val="Normal"/>
              <w:widowControl/>
              <w:spacing w:before="0" w:after="0"/>
              <w:jc w:val="left"/>
              <w:rPr>
                <w:rFonts w:ascii="Times New Roman" w:hAnsi="Times New Roman" w:cs="Times New Roman"/>
                <w:color w:val="000000"/>
              </w:rPr>
            </w:pPr>
            <w:r>
              <w:rPr>
                <w:rFonts w:eastAsia="" w:cs="Times New Roman"/>
                <w:i/>
                <w:iCs/>
                <w:color w:val="000000"/>
                <w:kern w:val="0"/>
                <w:szCs w:val="28"/>
                <w:lang w:val="ru-RU" w:eastAsia="ru-RU" w:bidi="ar-SA"/>
              </w:rPr>
              <w:t>Пример :</w:t>
            </w:r>
          </w:p>
          <w:p>
            <w:pPr>
              <w:pStyle w:val="Normal"/>
              <w:widowControl/>
              <w:spacing w:before="0" w:after="0"/>
              <w:jc w:val="left"/>
              <w:rPr>
                <w:rFonts w:ascii="Times New Roman" w:hAnsi="Times New Roman" w:cs="Times New Roman"/>
                <w:color w:val="000000"/>
              </w:rPr>
            </w:pPr>
            <w:r>
              <w:rPr>
                <w:rFonts w:eastAsia="" w:cs="Times New Roman"/>
                <w:i/>
                <w:iCs/>
                <w:color w:val="000000"/>
                <w:kern w:val="0"/>
                <w:szCs w:val="28"/>
                <w:lang w:val="ru-RU" w:eastAsia="ru-RU" w:bidi="ar-SA"/>
              </w:rPr>
              <w:t>1. уничтожение бумажного носителя путем измельчения через «Шредер»</w:t>
            </w:r>
          </w:p>
          <w:p>
            <w:pPr>
              <w:pStyle w:val="Normal"/>
              <w:widowControl/>
              <w:spacing w:before="0" w:after="0"/>
              <w:jc w:val="left"/>
              <w:rPr>
                <w:rFonts w:ascii="Times New Roman" w:hAnsi="Times New Roman" w:cs="Times New Roman"/>
                <w:color w:val="000000"/>
              </w:rPr>
            </w:pPr>
            <w:r>
              <w:rPr>
                <w:rFonts w:eastAsia="" w:cs="Times New Roman"/>
                <w:i/>
                <w:iCs/>
                <w:color w:val="000000"/>
                <w:kern w:val="0"/>
                <w:szCs w:val="28"/>
                <w:lang w:val="ru-RU" w:eastAsia="ru-RU" w:bidi="ar-SA"/>
              </w:rPr>
              <w:t>2. механическое повреждение CD диска без возможности восстановления указанного носителя</w:t>
            </w:r>
          </w:p>
          <w:p>
            <w:pPr>
              <w:pStyle w:val="Normal"/>
              <w:widowControl/>
              <w:spacing w:before="0" w:after="0"/>
              <w:jc w:val="left"/>
              <w:rPr>
                <w:rFonts w:ascii="Times New Roman" w:hAnsi="Times New Roman" w:cs="Times New Roman"/>
                <w:color w:val="000000"/>
              </w:rPr>
            </w:pPr>
            <w:r>
              <w:rPr>
                <w:rFonts w:eastAsia="" w:cs="Times New Roman"/>
                <w:i/>
                <w:iCs/>
                <w:color w:val="000000"/>
                <w:kern w:val="0"/>
                <w:szCs w:val="28"/>
                <w:lang w:val="ru-RU" w:eastAsia="ru-RU" w:bidi="ar-SA"/>
              </w:rPr>
              <w:t>3. удаление файла с ПДн из АРМ без возможности восстановления</w:t>
            </w:r>
          </w:p>
        </w:tc>
      </w:tr>
    </w:tbl>
    <w:p>
      <w:pPr>
        <w:pStyle w:val="Normal"/>
        <w:ind w:right="7" w:firstLine="626"/>
        <w:jc w:val="both"/>
        <w:rPr>
          <w:color w:val="000000"/>
        </w:rPr>
      </w:pPr>
      <w:r>
        <w:rPr>
          <w:color w:val="000000"/>
          <w:szCs w:val="28"/>
        </w:rPr>
        <w:t>Уничтожение ПДн из информационной системы ПДн или из файлов АРМ, а также материальных носителей, содержащих ПДн, произведено вручную с использованием методов и средств удаления остаточной информации с невозможностью восстановить содержание ПДн в информационной системе ПДн, а также на материальных носителях.</w:t>
      </w:r>
    </w:p>
    <w:p>
      <w:pPr>
        <w:pStyle w:val="Normal"/>
        <w:ind w:right="7" w:firstLine="626"/>
        <w:jc w:val="both"/>
        <w:rPr>
          <w:color w:val="000000"/>
        </w:rPr>
      </w:pPr>
      <w:r>
        <w:rPr>
          <w:color w:val="000000"/>
          <w:szCs w:val="28"/>
        </w:rPr>
        <w:t xml:space="preserve">Уничтожение ПДн произведено в связи с достижением цели обработки и (или) истечением срока их хранения. </w:t>
      </w:r>
    </w:p>
    <w:p>
      <w:pPr>
        <w:pStyle w:val="Normal"/>
        <w:ind w:left="14" w:right="7" w:firstLine="612"/>
        <w:jc w:val="both"/>
        <w:rPr>
          <w:color w:val="000000"/>
        </w:rPr>
      </w:pPr>
      <w:r>
        <w:rPr>
          <w:color w:val="000000"/>
          <w:szCs w:val="28"/>
        </w:rPr>
        <w:t>Указанные ПДн были уничтожены в присутствии членов комиссии _______(дата).</w:t>
      </w:r>
    </w:p>
    <w:p>
      <w:pPr>
        <w:pStyle w:val="Normal"/>
        <w:ind w:left="14" w:right="7" w:firstLine="612"/>
        <w:rPr>
          <w:color w:val="000000"/>
          <w:szCs w:val="28"/>
        </w:rPr>
      </w:pPr>
      <w:r>
        <w:rPr>
          <w:color w:val="000000"/>
          <w:szCs w:val="28"/>
        </w:rPr>
      </w:r>
    </w:p>
    <w:p>
      <w:pPr>
        <w:pStyle w:val="Normal"/>
        <w:ind w:left="14" w:right="7" w:firstLine="612"/>
        <w:rPr>
          <w:color w:val="000000"/>
          <w:szCs w:val="28"/>
        </w:rPr>
      </w:pPr>
      <w:r>
        <w:rPr>
          <w:color w:val="000000"/>
          <w:szCs w:val="28"/>
        </w:rPr>
      </w:r>
    </w:p>
    <w:p>
      <w:pPr>
        <w:pStyle w:val="Normal"/>
        <w:ind w:left="14" w:right="7" w:firstLine="4"/>
        <w:rPr>
          <w:color w:val="000000"/>
        </w:rPr>
      </w:pPr>
      <w:r>
        <w:rPr>
          <w:color w:val="000000"/>
          <w:szCs w:val="28"/>
        </w:rPr>
        <w:t>Председатель комиссии:_________________________(Подпись)</w:t>
        <w:tab/>
        <w:t>(ФИО)</w:t>
      </w:r>
    </w:p>
    <w:p>
      <w:pPr>
        <w:pStyle w:val="Normal"/>
        <w:ind w:right="849" w:hanging="0"/>
        <w:jc w:val="right"/>
        <w:rPr>
          <w:color w:val="000000"/>
        </w:rPr>
      </w:pPr>
      <w:r>
        <w:rPr>
          <w:color w:val="000000"/>
          <w:szCs w:val="28"/>
        </w:rPr>
        <w:t>Члены комиссии:_______________________________(Подпись)</w:t>
        <w:tab/>
        <w:t>(ФИО)</w:t>
      </w:r>
    </w:p>
    <w:p>
      <w:pPr>
        <w:pStyle w:val="Normal"/>
        <w:ind w:right="849" w:hanging="0"/>
        <w:jc w:val="right"/>
        <w:rPr>
          <w:color w:val="000000"/>
        </w:rPr>
      </w:pPr>
      <w:r>
        <w:rPr>
          <w:color w:val="000000"/>
          <w:szCs w:val="28"/>
        </w:rPr>
        <w:t>(Подпись)</w:t>
        <w:tab/>
        <w:t>(ФИО)</w:t>
      </w:r>
    </w:p>
    <w:p>
      <w:pPr>
        <w:pStyle w:val="Normal"/>
        <w:suppressAutoHyphens w:val="true"/>
        <w:rPr>
          <w:color w:val="000000"/>
          <w:szCs w:val="28"/>
        </w:rPr>
      </w:pPr>
      <w:r>
        <w:rPr>
          <w:color w:val="000000"/>
          <w:szCs w:val="28"/>
        </w:rPr>
      </w:r>
      <w:r>
        <w:br w:type="page"/>
      </w:r>
    </w:p>
    <w:p>
      <w:pPr>
        <w:pStyle w:val="24"/>
        <w:rPr/>
      </w:pPr>
      <w:bookmarkStart w:id="138" w:name="_Toc1005889471"/>
      <w:bookmarkStart w:id="139" w:name="_Toc145919166"/>
      <w:bookmarkStart w:id="140" w:name="_Ref150243979"/>
      <w:r>
        <w:rPr/>
        <w:t>Приложение № </w:t>
      </w:r>
      <w:r>
        <w:rPr/>
        <w:fldChar w:fldCharType="begin"/>
      </w:r>
      <w:r>
        <w:rPr/>
        <w:instrText xml:space="preserve"> SEQ Приложение_№ \* ARABIC </w:instrText>
      </w:r>
      <w:r>
        <w:rPr/>
        <w:fldChar w:fldCharType="separate"/>
      </w:r>
      <w:r>
        <w:rPr/>
        <w:t>12</w:t>
      </w:r>
      <w:r>
        <w:rPr/>
        <w:fldChar w:fldCharType="end"/>
      </w:r>
      <w:bookmarkEnd w:id="140"/>
    </w:p>
    <w:p>
      <w:pPr>
        <w:pStyle w:val="Style32"/>
        <w:rPr>
          <w:color w:val="000000"/>
        </w:rPr>
      </w:pPr>
      <w:bookmarkStart w:id="141" w:name="_Toc1005889471"/>
      <w:bookmarkStart w:id="142" w:name="_Toc145919166"/>
      <w:bookmarkStart w:id="143" w:name="_Toc150263836"/>
      <w:r>
        <w:rPr>
          <w:color w:val="000000"/>
        </w:rPr>
        <w:t>Типовая форма журнала учета отзывов согласий на обработку персональных данных и обращений граждан (субъектов персональных данных) по вопросам обработки в АНО ДПО «Техническая академия Росатома»</w:t>
      </w:r>
      <w:bookmarkEnd w:id="141"/>
      <w:bookmarkEnd w:id="142"/>
      <w:bookmarkEnd w:id="143"/>
    </w:p>
    <w:p>
      <w:pPr>
        <w:pStyle w:val="Normal"/>
        <w:ind w:left="10" w:right="46" w:hanging="10"/>
        <w:jc w:val="right"/>
        <w:rPr>
          <w:color w:val="000000"/>
        </w:rPr>
      </w:pPr>
      <w:r>
        <w:rPr>
          <w:i/>
          <w:color w:val="000000"/>
          <w:sz w:val="24"/>
        </w:rPr>
        <w:t xml:space="preserve">Титульный лист </w:t>
      </w:r>
    </w:p>
    <w:p>
      <w:pPr>
        <w:pStyle w:val="Normal"/>
        <w:jc w:val="center"/>
        <w:rPr>
          <w:color w:val="000000"/>
        </w:rPr>
      </w:pPr>
      <w:r>
        <w:rPr>
          <w:b/>
          <w:color w:val="000000"/>
        </w:rPr>
        <w:t>ТИПОВАЯ ФОРМА</w:t>
      </w:r>
    </w:p>
    <w:p>
      <w:pPr>
        <w:pStyle w:val="Normal"/>
        <w:jc w:val="center"/>
        <w:rPr>
          <w:color w:val="000000"/>
        </w:rPr>
      </w:pPr>
      <w:r>
        <w:rPr>
          <w:color w:val="000000"/>
        </w:rPr>
        <w:t>«</w:t>
      </w:r>
      <w:r>
        <w:rPr>
          <w:b/>
          <w:color w:val="000000"/>
        </w:rPr>
        <w:t>Журнал учета отзывов согласий на обработку персональных данных и обращений граждан (субъектов) по вопросам обработки персональных данных в АНО ДПО «Техническая академия Росатома»</w:t>
      </w:r>
    </w:p>
    <w:p>
      <w:pPr>
        <w:pStyle w:val="Normal"/>
        <w:spacing w:before="0" w:after="20"/>
        <w:jc w:val="right"/>
        <w:rPr>
          <w:color w:val="000000"/>
        </w:rPr>
      </w:pPr>
      <w:r>
        <w:rPr>
          <w:color w:val="000000"/>
          <w:sz w:val="24"/>
          <w:szCs w:val="24"/>
        </w:rPr>
        <w:t xml:space="preserve"> </w:t>
      </w:r>
    </w:p>
    <w:p>
      <w:pPr>
        <w:pStyle w:val="Normal"/>
        <w:tabs>
          <w:tab w:val="clear" w:pos="720"/>
          <w:tab w:val="center" w:pos="2424" w:leader="none"/>
          <w:tab w:val="right" w:pos="9775" w:leader="none"/>
        </w:tabs>
        <w:spacing w:lineRule="auto" w:line="259" w:before="0" w:after="25"/>
        <w:rPr>
          <w:color w:val="000000"/>
        </w:rPr>
      </w:pPr>
      <w:r>
        <w:rPr>
          <w:color w:val="000000"/>
          <w:sz w:val="24"/>
          <w:szCs w:val="24"/>
        </w:rPr>
        <w:tab/>
        <w:t xml:space="preserve">Журнал начат «____» ___________ 20___ г. </w:t>
        <w:tab/>
        <w:t xml:space="preserve">Журнал завершен «____» ___________ 20___ г. </w:t>
      </w:r>
    </w:p>
    <w:p>
      <w:pPr>
        <w:pStyle w:val="Normal"/>
        <w:spacing w:before="0" w:after="58"/>
        <w:rPr>
          <w:color w:val="000000"/>
          <w:sz w:val="24"/>
          <w:szCs w:val="24"/>
        </w:rPr>
      </w:pPr>
      <w:r>
        <w:rPr>
          <w:color w:val="000000"/>
          <w:sz w:val="24"/>
          <w:szCs w:val="24"/>
        </w:rPr>
      </w:r>
    </w:p>
    <w:p>
      <w:pPr>
        <w:pStyle w:val="Normal"/>
        <w:tabs>
          <w:tab w:val="clear" w:pos="720"/>
          <w:tab w:val="center" w:pos="833" w:leader="none"/>
          <w:tab w:val="center" w:pos="5619" w:leader="none"/>
        </w:tabs>
        <w:spacing w:lineRule="auto" w:line="259" w:before="0" w:after="61"/>
        <w:rPr>
          <w:color w:val="000000"/>
        </w:rPr>
      </w:pPr>
      <w:r>
        <w:rPr>
          <w:color w:val="000000"/>
          <w:sz w:val="24"/>
          <w:szCs w:val="24"/>
        </w:rPr>
        <w:tab/>
        <w:t xml:space="preserve">Должность </w:t>
        <w:tab/>
        <w:t xml:space="preserve">Должность </w:t>
      </w:r>
    </w:p>
    <w:p>
      <w:pPr>
        <w:pStyle w:val="Normal"/>
        <w:tabs>
          <w:tab w:val="clear" w:pos="720"/>
          <w:tab w:val="center" w:pos="2568" w:leader="none"/>
          <w:tab w:val="right" w:pos="9775" w:leader="none"/>
        </w:tabs>
        <w:spacing w:lineRule="auto" w:line="259" w:before="0" w:after="56"/>
        <w:rPr>
          <w:color w:val="000000"/>
        </w:rPr>
      </w:pPr>
      <w:r>
        <w:rPr>
          <w:color w:val="000000"/>
          <w:sz w:val="24"/>
          <w:szCs w:val="24"/>
        </w:rPr>
        <w:tab/>
        <w:t xml:space="preserve">________________ / ФИО должностного лица / </w:t>
        <w:tab/>
        <w:t>_______________ / ФИО должностного</w:t>
      </w:r>
      <w:r>
        <w:rPr>
          <w:color w:val="000000"/>
          <w:sz w:val="20"/>
        </w:rPr>
        <w:t xml:space="preserve"> лица/ </w:t>
      </w:r>
    </w:p>
    <w:p>
      <w:pPr>
        <w:pStyle w:val="Normal"/>
        <w:spacing w:before="0" w:after="39"/>
        <w:ind w:left="1068" w:hanging="0"/>
        <w:rPr>
          <w:color w:val="000000"/>
        </w:rPr>
      </w:pPr>
      <w:r>
        <w:rPr>
          <w:color w:val="000000"/>
          <w:sz w:val="24"/>
        </w:rPr>
        <w:t xml:space="preserve"> </w:t>
      </w:r>
    </w:p>
    <w:p>
      <w:pPr>
        <w:pStyle w:val="Normal"/>
        <w:spacing w:before="0" w:after="33"/>
        <w:ind w:left="300" w:hanging="0"/>
        <w:jc w:val="center"/>
        <w:rPr>
          <w:color w:val="000000"/>
        </w:rPr>
      </w:pPr>
      <w:r>
        <w:rPr>
          <w:color w:val="000000"/>
        </w:rPr>
        <w:t xml:space="preserve">На _____ листах </w:t>
      </w:r>
    </w:p>
    <w:p>
      <w:pPr>
        <w:pStyle w:val="Normal"/>
        <w:spacing w:before="0" w:after="19"/>
        <w:ind w:left="1068" w:hanging="0"/>
        <w:rPr>
          <w:color w:val="000000"/>
        </w:rPr>
      </w:pPr>
      <w:r>
        <w:rPr>
          <w:color w:val="000000"/>
          <w:sz w:val="24"/>
        </w:rPr>
        <w:t xml:space="preserve"> </w:t>
      </w:r>
    </w:p>
    <w:p>
      <w:pPr>
        <w:pStyle w:val="Normal"/>
        <w:spacing w:before="0" w:after="60"/>
        <w:ind w:left="1068" w:hanging="0"/>
        <w:rPr>
          <w:color w:val="000000"/>
        </w:rPr>
      </w:pPr>
      <w:r>
        <w:rPr>
          <w:color w:val="000000"/>
          <w:sz w:val="24"/>
        </w:rPr>
        <w:t xml:space="preserve"> </w:t>
      </w:r>
    </w:p>
    <w:p>
      <w:pPr>
        <w:pStyle w:val="Normal"/>
        <w:numPr>
          <w:ilvl w:val="0"/>
          <w:numId w:val="2"/>
        </w:numPr>
        <w:spacing w:lineRule="auto" w:line="259"/>
        <w:ind w:left="180" w:right="46" w:hanging="180"/>
        <w:jc w:val="right"/>
        <w:rPr>
          <w:color w:val="000000"/>
        </w:rPr>
      </w:pPr>
      <w:r>
        <w:rPr>
          <w:i/>
          <w:color w:val="000000"/>
          <w:sz w:val="24"/>
        </w:rPr>
        <w:t xml:space="preserve">лист </w:t>
      </w:r>
      <w:r>
        <w:rPr>
          <w:color w:val="000000"/>
          <w:sz w:val="24"/>
        </w:rPr>
        <w:t xml:space="preserve"> </w:t>
      </w:r>
    </w:p>
    <w:tbl>
      <w:tblPr>
        <w:tblStyle w:val="TableGrid"/>
        <w:tblW w:w="5000" w:type="pct"/>
        <w:jc w:val="left"/>
        <w:tblInd w:w="-11" w:type="dxa"/>
        <w:tblLayout w:type="fixed"/>
        <w:tblCellMar>
          <w:top w:w="15" w:type="dxa"/>
          <w:left w:w="120" w:type="dxa"/>
          <w:bottom w:w="48" w:type="dxa"/>
          <w:right w:w="70" w:type="dxa"/>
        </w:tblCellMar>
        <w:tblLook w:val="04a0" w:noVBand="1" w:noHBand="0" w:lastColumn="0" w:firstColumn="1" w:lastRow="0" w:firstRow="1"/>
      </w:tblPr>
      <w:tblGrid>
        <w:gridCol w:w="556"/>
        <w:gridCol w:w="2070"/>
        <w:gridCol w:w="3219"/>
        <w:gridCol w:w="3791"/>
      </w:tblGrid>
      <w:tr>
        <w:trPr>
          <w:trHeight w:val="814" w:hRule="atLeast"/>
        </w:trPr>
        <w:tc>
          <w:tcPr>
            <w:tcW w:w="556" w:type="dxa"/>
            <w:tcBorders>
              <w:top w:val="single" w:sz="8" w:space="0" w:color="000000"/>
              <w:left w:val="single" w:sz="8" w:space="0" w:color="000000"/>
              <w:bottom w:val="single" w:sz="8" w:space="0" w:color="000000"/>
              <w:right w:val="single" w:sz="8" w:space="0" w:color="000000"/>
            </w:tcBorders>
            <w:vAlign w:val="center"/>
          </w:tcPr>
          <w:p>
            <w:pPr>
              <w:pStyle w:val="Normal"/>
              <w:widowControl/>
              <w:spacing w:before="0" w:after="0"/>
              <w:jc w:val="left"/>
              <w:rPr>
                <w:rFonts w:ascii="Times New Roman" w:hAnsi="Times New Roman" w:cs="Times New Roman"/>
                <w:color w:val="000000"/>
              </w:rPr>
            </w:pPr>
            <w:r>
              <w:rPr>
                <w:rFonts w:eastAsia="" w:cs="Times New Roman"/>
                <w:color w:val="000000"/>
                <w:kern w:val="0"/>
                <w:sz w:val="20"/>
                <w:szCs w:val="22"/>
                <w:lang w:val="ru-RU" w:eastAsia="ru-RU" w:bidi="ar-SA"/>
              </w:rPr>
              <w:t>п/п</w:t>
            </w:r>
          </w:p>
        </w:tc>
        <w:tc>
          <w:tcPr>
            <w:tcW w:w="2070" w:type="dxa"/>
            <w:tcBorders>
              <w:top w:val="single" w:sz="8" w:space="0" w:color="000000"/>
              <w:left w:val="single" w:sz="8" w:space="0" w:color="000000"/>
              <w:bottom w:val="single" w:sz="8" w:space="0" w:color="000000"/>
              <w:right w:val="single" w:sz="8" w:space="0" w:color="000000"/>
            </w:tcBorders>
          </w:tcPr>
          <w:p>
            <w:pPr>
              <w:pStyle w:val="Normal"/>
              <w:widowControl/>
              <w:spacing w:before="0" w:after="0"/>
              <w:jc w:val="center"/>
              <w:rPr>
                <w:rFonts w:ascii="Times New Roman" w:hAnsi="Times New Roman" w:cs="Times New Roman"/>
                <w:color w:val="000000"/>
              </w:rPr>
            </w:pPr>
            <w:r>
              <w:rPr>
                <w:rFonts w:eastAsia="" w:cs="Times New Roman"/>
                <w:color w:val="000000"/>
                <w:kern w:val="0"/>
                <w:sz w:val="20"/>
                <w:szCs w:val="22"/>
                <w:lang w:val="ru-RU" w:eastAsia="ru-RU" w:bidi="ar-SA"/>
              </w:rPr>
              <w:t>Сведения о запрашивающем лице</w:t>
            </w:r>
          </w:p>
        </w:tc>
        <w:tc>
          <w:tcPr>
            <w:tcW w:w="3219" w:type="dxa"/>
            <w:tcBorders>
              <w:top w:val="single" w:sz="8" w:space="0" w:color="000000"/>
              <w:left w:val="single" w:sz="8" w:space="0" w:color="000000"/>
              <w:bottom w:val="single" w:sz="8" w:space="0" w:color="000000"/>
              <w:right w:val="single" w:sz="8" w:space="0" w:color="000000"/>
            </w:tcBorders>
            <w:vAlign w:val="center"/>
          </w:tcPr>
          <w:p>
            <w:pPr>
              <w:pStyle w:val="Normal"/>
              <w:widowControl/>
              <w:spacing w:before="0" w:after="0"/>
              <w:ind w:right="57" w:hanging="0"/>
              <w:jc w:val="center"/>
              <w:rPr>
                <w:rFonts w:ascii="Times New Roman" w:hAnsi="Times New Roman" w:cs="Times New Roman"/>
                <w:color w:val="000000"/>
              </w:rPr>
            </w:pPr>
            <w:r>
              <w:rPr>
                <w:rFonts w:eastAsia="" w:cs="Times New Roman"/>
                <w:color w:val="000000"/>
                <w:kern w:val="0"/>
                <w:sz w:val="20"/>
                <w:szCs w:val="22"/>
                <w:lang w:val="ru-RU" w:eastAsia="ru-RU" w:bidi="ar-SA"/>
              </w:rPr>
              <w:t>Краткое содержание обращения</w:t>
            </w:r>
          </w:p>
        </w:tc>
        <w:tc>
          <w:tcPr>
            <w:tcW w:w="3791" w:type="dxa"/>
            <w:tcBorders>
              <w:top w:val="single" w:sz="8" w:space="0" w:color="000000"/>
              <w:left w:val="single" w:sz="8" w:space="0" w:color="000000"/>
              <w:bottom w:val="single" w:sz="8" w:space="0" w:color="000000"/>
              <w:right w:val="single" w:sz="8" w:space="0" w:color="000000"/>
            </w:tcBorders>
            <w:vAlign w:val="center"/>
          </w:tcPr>
          <w:p>
            <w:pPr>
              <w:pStyle w:val="Normal"/>
              <w:widowControl/>
              <w:spacing w:before="0" w:after="0"/>
              <w:ind w:right="51" w:hanging="0"/>
              <w:jc w:val="center"/>
              <w:rPr>
                <w:rFonts w:ascii="Times New Roman" w:hAnsi="Times New Roman" w:cs="Times New Roman"/>
                <w:color w:val="000000"/>
              </w:rPr>
            </w:pPr>
            <w:r>
              <w:rPr>
                <w:rFonts w:eastAsia="" w:cs="Times New Roman"/>
                <w:color w:val="000000"/>
                <w:kern w:val="0"/>
                <w:sz w:val="20"/>
                <w:szCs w:val="22"/>
                <w:lang w:val="ru-RU" w:eastAsia="ru-RU" w:bidi="ar-SA"/>
              </w:rPr>
              <w:t>Цель запроса</w:t>
            </w:r>
          </w:p>
        </w:tc>
      </w:tr>
      <w:tr>
        <w:trPr>
          <w:trHeight w:val="283" w:hRule="atLeast"/>
        </w:trPr>
        <w:tc>
          <w:tcPr>
            <w:tcW w:w="556" w:type="dxa"/>
            <w:tcBorders>
              <w:top w:val="single" w:sz="8" w:space="0" w:color="000000"/>
              <w:left w:val="single" w:sz="8" w:space="0" w:color="000000"/>
              <w:bottom w:val="single" w:sz="8" w:space="0" w:color="000000"/>
              <w:right w:val="single" w:sz="8" w:space="0" w:color="000000"/>
            </w:tcBorders>
          </w:tcPr>
          <w:p>
            <w:pPr>
              <w:pStyle w:val="Normal"/>
              <w:widowControl/>
              <w:spacing w:before="0" w:after="0"/>
              <w:jc w:val="left"/>
              <w:rPr>
                <w:rFonts w:ascii="Times New Roman" w:hAnsi="Times New Roman" w:cs="Times New Roman"/>
                <w:color w:val="000000"/>
              </w:rPr>
            </w:pPr>
            <w:r>
              <w:rPr>
                <w:rFonts w:eastAsia="" w:cs="Times New Roman"/>
                <w:color w:val="000000"/>
                <w:kern w:val="0"/>
                <w:sz w:val="20"/>
                <w:szCs w:val="22"/>
                <w:lang w:val="ru-RU" w:eastAsia="ru-RU" w:bidi="ar-SA"/>
              </w:rPr>
              <w:t>1</w:t>
            </w:r>
          </w:p>
        </w:tc>
        <w:tc>
          <w:tcPr>
            <w:tcW w:w="2070" w:type="dxa"/>
            <w:tcBorders>
              <w:top w:val="single" w:sz="8" w:space="0" w:color="000000"/>
              <w:left w:val="single" w:sz="8" w:space="0" w:color="000000"/>
              <w:bottom w:val="single" w:sz="8" w:space="0" w:color="000000"/>
              <w:right w:val="single" w:sz="8" w:space="0" w:color="000000"/>
            </w:tcBorders>
          </w:tcPr>
          <w:p>
            <w:pPr>
              <w:pStyle w:val="Normal"/>
              <w:widowControl/>
              <w:spacing w:before="0" w:after="0"/>
              <w:ind w:left="653" w:hanging="478"/>
              <w:jc w:val="center"/>
              <w:rPr>
                <w:rFonts w:ascii="Times New Roman" w:hAnsi="Times New Roman" w:cs="Times New Roman"/>
                <w:color w:val="000000"/>
              </w:rPr>
            </w:pPr>
            <w:r>
              <w:rPr>
                <w:rFonts w:eastAsia="" w:cs="Times New Roman"/>
                <w:color w:val="000000"/>
                <w:kern w:val="0"/>
                <w:sz w:val="20"/>
                <w:szCs w:val="22"/>
                <w:lang w:val="ru-RU" w:eastAsia="ru-RU" w:bidi="ar-SA"/>
              </w:rPr>
              <w:t>2</w:t>
            </w:r>
          </w:p>
        </w:tc>
        <w:tc>
          <w:tcPr>
            <w:tcW w:w="3219" w:type="dxa"/>
            <w:tcBorders>
              <w:top w:val="single" w:sz="8" w:space="0" w:color="000000"/>
              <w:left w:val="single" w:sz="8" w:space="0" w:color="000000"/>
              <w:bottom w:val="single" w:sz="8" w:space="0" w:color="000000"/>
              <w:right w:val="single" w:sz="8" w:space="0" w:color="000000"/>
            </w:tcBorders>
          </w:tcPr>
          <w:p>
            <w:pPr>
              <w:pStyle w:val="Normal"/>
              <w:widowControl/>
              <w:spacing w:before="0" w:after="0"/>
              <w:ind w:left="653" w:hanging="478"/>
              <w:jc w:val="center"/>
              <w:rPr>
                <w:rFonts w:ascii="Times New Roman" w:hAnsi="Times New Roman" w:cs="Times New Roman"/>
                <w:color w:val="000000"/>
              </w:rPr>
            </w:pPr>
            <w:r>
              <w:rPr>
                <w:rFonts w:eastAsia="" w:cs="Times New Roman"/>
                <w:color w:val="000000"/>
                <w:kern w:val="0"/>
                <w:sz w:val="20"/>
                <w:szCs w:val="22"/>
                <w:lang w:val="ru-RU" w:eastAsia="ru-RU" w:bidi="ar-SA"/>
              </w:rPr>
              <w:t>3</w:t>
            </w:r>
          </w:p>
        </w:tc>
        <w:tc>
          <w:tcPr>
            <w:tcW w:w="3791" w:type="dxa"/>
            <w:tcBorders>
              <w:top w:val="single" w:sz="8" w:space="0" w:color="000000"/>
              <w:left w:val="single" w:sz="8" w:space="0" w:color="000000"/>
              <w:bottom w:val="single" w:sz="8" w:space="0" w:color="000000"/>
              <w:right w:val="single" w:sz="8" w:space="0" w:color="000000"/>
            </w:tcBorders>
          </w:tcPr>
          <w:p>
            <w:pPr>
              <w:pStyle w:val="Normal"/>
              <w:widowControl/>
              <w:spacing w:before="0" w:after="0"/>
              <w:ind w:left="657" w:hanging="478"/>
              <w:jc w:val="center"/>
              <w:rPr>
                <w:rFonts w:ascii="Times New Roman" w:hAnsi="Times New Roman" w:cs="Times New Roman"/>
                <w:color w:val="000000"/>
              </w:rPr>
            </w:pPr>
            <w:r>
              <w:rPr>
                <w:rFonts w:eastAsia="" w:cs="Times New Roman"/>
                <w:color w:val="000000"/>
                <w:kern w:val="0"/>
                <w:sz w:val="20"/>
                <w:szCs w:val="22"/>
                <w:lang w:val="ru-RU" w:eastAsia="ru-RU" w:bidi="ar-SA"/>
              </w:rPr>
              <w:t>4</w:t>
            </w:r>
          </w:p>
        </w:tc>
      </w:tr>
      <w:tr>
        <w:trPr>
          <w:trHeight w:val="286" w:hRule="atLeast"/>
        </w:trPr>
        <w:tc>
          <w:tcPr>
            <w:tcW w:w="556" w:type="dxa"/>
            <w:tcBorders>
              <w:top w:val="single" w:sz="8" w:space="0" w:color="000000"/>
              <w:left w:val="single" w:sz="8" w:space="0" w:color="000000"/>
              <w:bottom w:val="single" w:sz="8" w:space="0" w:color="000000"/>
              <w:right w:val="single" w:sz="8" w:space="0" w:color="000000"/>
            </w:tcBorders>
          </w:tcPr>
          <w:p>
            <w:pPr>
              <w:pStyle w:val="Normal"/>
              <w:widowControl/>
              <w:spacing w:before="0" w:after="0"/>
              <w:jc w:val="center"/>
              <w:rPr>
                <w:rFonts w:ascii="Times New Roman" w:hAnsi="Times New Roman" w:cs="Times New Roman"/>
                <w:color w:val="000000"/>
              </w:rPr>
            </w:pPr>
            <w:r>
              <w:rPr>
                <w:rFonts w:eastAsia="" w:cs="Times New Roman"/>
                <w:color w:val="000000"/>
                <w:kern w:val="0"/>
                <w:szCs w:val="22"/>
                <w:lang w:val="ru-RU" w:eastAsia="ru-RU" w:bidi="ar-SA"/>
              </w:rPr>
            </w:r>
          </w:p>
        </w:tc>
        <w:tc>
          <w:tcPr>
            <w:tcW w:w="2070" w:type="dxa"/>
            <w:tcBorders>
              <w:top w:val="single" w:sz="8" w:space="0" w:color="000000"/>
              <w:left w:val="single" w:sz="8" w:space="0" w:color="000000"/>
              <w:bottom w:val="single" w:sz="8" w:space="0" w:color="000000"/>
              <w:right w:val="single" w:sz="8" w:space="0" w:color="000000"/>
            </w:tcBorders>
          </w:tcPr>
          <w:p>
            <w:pPr>
              <w:pStyle w:val="Normal"/>
              <w:widowControl/>
              <w:spacing w:before="0" w:after="0"/>
              <w:ind w:left="704" w:hanging="529"/>
              <w:jc w:val="center"/>
              <w:rPr>
                <w:rFonts w:ascii="Times New Roman" w:hAnsi="Times New Roman" w:cs="Times New Roman"/>
                <w:color w:val="000000"/>
              </w:rPr>
            </w:pPr>
            <w:r>
              <w:rPr>
                <w:rFonts w:eastAsia="" w:cs="Times New Roman"/>
                <w:color w:val="000000"/>
                <w:kern w:val="0"/>
                <w:szCs w:val="22"/>
                <w:lang w:val="ru-RU" w:eastAsia="ru-RU" w:bidi="ar-SA"/>
              </w:rPr>
            </w:r>
          </w:p>
        </w:tc>
        <w:tc>
          <w:tcPr>
            <w:tcW w:w="3219" w:type="dxa"/>
            <w:tcBorders>
              <w:top w:val="single" w:sz="8" w:space="0" w:color="000000"/>
              <w:left w:val="single" w:sz="8" w:space="0" w:color="000000"/>
              <w:bottom w:val="single" w:sz="8" w:space="0" w:color="000000"/>
              <w:right w:val="single" w:sz="8" w:space="0" w:color="000000"/>
            </w:tcBorders>
          </w:tcPr>
          <w:p>
            <w:pPr>
              <w:pStyle w:val="Normal"/>
              <w:widowControl/>
              <w:spacing w:before="0" w:after="0"/>
              <w:ind w:left="704" w:hanging="529"/>
              <w:jc w:val="center"/>
              <w:rPr>
                <w:rFonts w:ascii="Times New Roman" w:hAnsi="Times New Roman" w:cs="Times New Roman"/>
                <w:color w:val="000000"/>
              </w:rPr>
            </w:pPr>
            <w:r>
              <w:rPr>
                <w:rFonts w:eastAsia="" w:cs="Times New Roman"/>
                <w:color w:val="000000"/>
                <w:kern w:val="0"/>
                <w:szCs w:val="22"/>
                <w:lang w:val="ru-RU" w:eastAsia="ru-RU" w:bidi="ar-SA"/>
              </w:rPr>
            </w:r>
          </w:p>
        </w:tc>
        <w:tc>
          <w:tcPr>
            <w:tcW w:w="3791" w:type="dxa"/>
            <w:tcBorders>
              <w:top w:val="single" w:sz="8" w:space="0" w:color="000000"/>
              <w:left w:val="single" w:sz="8" w:space="0" w:color="000000"/>
              <w:bottom w:val="single" w:sz="8" w:space="0" w:color="000000"/>
              <w:right w:val="single" w:sz="8" w:space="0" w:color="000000"/>
            </w:tcBorders>
          </w:tcPr>
          <w:p>
            <w:pPr>
              <w:pStyle w:val="Normal"/>
              <w:widowControl/>
              <w:spacing w:before="0" w:after="0"/>
              <w:ind w:left="708" w:hanging="529"/>
              <w:jc w:val="center"/>
              <w:rPr>
                <w:rFonts w:ascii="Times New Roman" w:hAnsi="Times New Roman" w:cs="Times New Roman"/>
                <w:color w:val="000000"/>
              </w:rPr>
            </w:pPr>
            <w:r>
              <w:rPr>
                <w:rFonts w:eastAsia="" w:cs="Times New Roman"/>
                <w:color w:val="000000"/>
                <w:kern w:val="0"/>
                <w:szCs w:val="22"/>
                <w:lang w:val="ru-RU" w:eastAsia="ru-RU" w:bidi="ar-SA"/>
              </w:rPr>
            </w:r>
          </w:p>
        </w:tc>
      </w:tr>
    </w:tbl>
    <w:p>
      <w:pPr>
        <w:pStyle w:val="Normal"/>
        <w:spacing w:before="0" w:after="62"/>
        <w:jc w:val="right"/>
        <w:rPr>
          <w:color w:val="000000"/>
        </w:rPr>
      </w:pPr>
      <w:r>
        <w:rPr>
          <w:i/>
          <w:color w:val="000000"/>
          <w:sz w:val="24"/>
        </w:rPr>
        <w:t xml:space="preserve"> </w:t>
      </w:r>
    </w:p>
    <w:p>
      <w:pPr>
        <w:pStyle w:val="Normal"/>
        <w:numPr>
          <w:ilvl w:val="0"/>
          <w:numId w:val="2"/>
        </w:numPr>
        <w:spacing w:lineRule="auto" w:line="259"/>
        <w:ind w:left="180" w:right="46" w:hanging="180"/>
        <w:jc w:val="right"/>
        <w:rPr>
          <w:color w:val="000000"/>
        </w:rPr>
      </w:pPr>
      <w:r>
        <w:rPr>
          <w:i/>
          <w:color w:val="000000"/>
          <w:sz w:val="24"/>
        </w:rPr>
        <w:t>лист</w:t>
      </w:r>
      <w:r>
        <w:rPr>
          <w:color w:val="000000"/>
          <w:sz w:val="24"/>
        </w:rPr>
        <w:t xml:space="preserve"> </w:t>
      </w:r>
    </w:p>
    <w:tbl>
      <w:tblPr>
        <w:tblStyle w:val="TableGrid"/>
        <w:tblW w:w="5000" w:type="pct"/>
        <w:jc w:val="left"/>
        <w:tblInd w:w="-5" w:type="dxa"/>
        <w:tblLayout w:type="fixed"/>
        <w:tblCellMar>
          <w:top w:w="10" w:type="dxa"/>
          <w:left w:w="113" w:type="dxa"/>
          <w:bottom w:w="0" w:type="dxa"/>
          <w:right w:w="70" w:type="dxa"/>
        </w:tblCellMar>
        <w:tblLook w:val="04a0" w:noVBand="1" w:noHBand="0" w:lastColumn="0" w:firstColumn="1" w:lastRow="0" w:firstRow="1"/>
      </w:tblPr>
      <w:tblGrid>
        <w:gridCol w:w="2588"/>
        <w:gridCol w:w="2592"/>
        <w:gridCol w:w="2264"/>
        <w:gridCol w:w="2192"/>
      </w:tblGrid>
      <w:tr>
        <w:trPr>
          <w:trHeight w:val="804" w:hRule="atLeast"/>
        </w:trPr>
        <w:tc>
          <w:tcPr>
            <w:tcW w:w="258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cs="Times New Roman"/>
                <w:color w:val="000000"/>
              </w:rPr>
            </w:pPr>
            <w:r>
              <w:rPr>
                <w:rFonts w:eastAsia="" w:cs="Times New Roman"/>
                <w:color w:val="000000"/>
                <w:kern w:val="0"/>
                <w:sz w:val="20"/>
                <w:szCs w:val="22"/>
                <w:lang w:val="ru-RU" w:eastAsia="ru-RU" w:bidi="ar-SA"/>
              </w:rPr>
              <w:t>Отметка о предоставлении информации или отказе в ее предоставлении</w:t>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left="28" w:hanging="28"/>
              <w:jc w:val="center"/>
              <w:rPr>
                <w:rFonts w:ascii="Times New Roman" w:hAnsi="Times New Roman" w:cs="Times New Roman"/>
                <w:color w:val="000000"/>
              </w:rPr>
            </w:pPr>
            <w:r>
              <w:rPr>
                <w:rFonts w:eastAsia="" w:cs="Times New Roman"/>
                <w:color w:val="000000"/>
                <w:kern w:val="0"/>
                <w:sz w:val="20"/>
                <w:szCs w:val="22"/>
                <w:lang w:val="ru-RU" w:eastAsia="ru-RU" w:bidi="ar-SA"/>
              </w:rPr>
              <w:t>Дата передачи / отказа в предоставлении информации</w:t>
            </w:r>
          </w:p>
        </w:tc>
        <w:tc>
          <w:tcPr>
            <w:tcW w:w="2264"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0" w:after="0"/>
              <w:jc w:val="center"/>
              <w:rPr>
                <w:rFonts w:ascii="Times New Roman" w:hAnsi="Times New Roman" w:cs="Times New Roman"/>
                <w:color w:val="000000"/>
              </w:rPr>
            </w:pPr>
            <w:r>
              <w:rPr>
                <w:rFonts w:eastAsia="" w:cs="Times New Roman"/>
                <w:color w:val="000000"/>
                <w:kern w:val="0"/>
                <w:sz w:val="20"/>
                <w:szCs w:val="22"/>
                <w:lang w:val="ru-RU" w:eastAsia="ru-RU" w:bidi="ar-SA"/>
              </w:rPr>
              <w:t>Подпись ответственного лица</w:t>
            </w:r>
          </w:p>
        </w:tc>
        <w:tc>
          <w:tcPr>
            <w:tcW w:w="2192"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before="0" w:after="0"/>
              <w:ind w:right="49" w:hanging="0"/>
              <w:jc w:val="center"/>
              <w:rPr>
                <w:rFonts w:ascii="Times New Roman" w:hAnsi="Times New Roman" w:cs="Times New Roman"/>
                <w:color w:val="000000"/>
              </w:rPr>
            </w:pPr>
            <w:r>
              <w:rPr>
                <w:rFonts w:eastAsia="" w:cs="Times New Roman"/>
                <w:color w:val="000000"/>
                <w:kern w:val="0"/>
                <w:sz w:val="20"/>
                <w:szCs w:val="22"/>
                <w:lang w:val="ru-RU" w:eastAsia="ru-RU" w:bidi="ar-SA"/>
              </w:rPr>
              <w:t>Примечание</w:t>
            </w:r>
          </w:p>
        </w:tc>
      </w:tr>
      <w:tr>
        <w:trPr>
          <w:trHeight w:val="274" w:hRule="atLeast"/>
        </w:trPr>
        <w:tc>
          <w:tcPr>
            <w:tcW w:w="258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left="661" w:hanging="661"/>
              <w:jc w:val="center"/>
              <w:rPr>
                <w:rFonts w:ascii="Times New Roman" w:hAnsi="Times New Roman" w:cs="Times New Roman"/>
                <w:color w:val="000000"/>
              </w:rPr>
            </w:pPr>
            <w:r>
              <w:rPr>
                <w:rFonts w:eastAsia="" w:cs="Times New Roman"/>
                <w:color w:val="000000"/>
                <w:kern w:val="0"/>
                <w:sz w:val="20"/>
                <w:szCs w:val="22"/>
                <w:lang w:val="ru-RU" w:eastAsia="ru-RU" w:bidi="ar-SA"/>
              </w:rPr>
              <w:t>5</w:t>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left="660" w:hanging="661"/>
              <w:jc w:val="center"/>
              <w:rPr>
                <w:rFonts w:ascii="Times New Roman" w:hAnsi="Times New Roman" w:cs="Times New Roman"/>
                <w:color w:val="000000"/>
              </w:rPr>
            </w:pPr>
            <w:r>
              <w:rPr>
                <w:rFonts w:eastAsia="" w:cs="Times New Roman"/>
                <w:color w:val="000000"/>
                <w:kern w:val="0"/>
                <w:sz w:val="20"/>
                <w:szCs w:val="22"/>
                <w:lang w:val="ru-RU" w:eastAsia="ru-RU" w:bidi="ar-SA"/>
              </w:rPr>
              <w:t>6</w:t>
            </w:r>
          </w:p>
        </w:tc>
        <w:tc>
          <w:tcPr>
            <w:tcW w:w="2264"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left="665" w:hanging="661"/>
              <w:jc w:val="center"/>
              <w:rPr>
                <w:rFonts w:ascii="Times New Roman" w:hAnsi="Times New Roman" w:cs="Times New Roman"/>
                <w:color w:val="000000"/>
              </w:rPr>
            </w:pPr>
            <w:r>
              <w:rPr>
                <w:rFonts w:eastAsia="" w:cs="Times New Roman"/>
                <w:color w:val="000000"/>
                <w:kern w:val="0"/>
                <w:sz w:val="20"/>
                <w:szCs w:val="22"/>
                <w:lang w:val="ru-RU" w:eastAsia="ru-RU" w:bidi="ar-SA"/>
              </w:rPr>
              <w:t>7</w:t>
            </w:r>
          </w:p>
        </w:tc>
        <w:tc>
          <w:tcPr>
            <w:tcW w:w="2192"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left="662" w:hanging="661"/>
              <w:jc w:val="center"/>
              <w:rPr>
                <w:rFonts w:ascii="Times New Roman" w:hAnsi="Times New Roman" w:cs="Times New Roman"/>
                <w:color w:val="000000"/>
              </w:rPr>
            </w:pPr>
            <w:r>
              <w:rPr>
                <w:rFonts w:eastAsia="" w:cs="Times New Roman"/>
                <w:color w:val="000000"/>
                <w:kern w:val="0"/>
                <w:sz w:val="20"/>
                <w:szCs w:val="22"/>
                <w:lang w:val="ru-RU" w:eastAsia="ru-RU" w:bidi="ar-SA"/>
              </w:rPr>
              <w:t>8</w:t>
            </w:r>
          </w:p>
        </w:tc>
      </w:tr>
      <w:tr>
        <w:trPr>
          <w:trHeight w:val="274" w:hRule="atLeast"/>
        </w:trPr>
        <w:tc>
          <w:tcPr>
            <w:tcW w:w="2588"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113"/>
              <w:jc w:val="center"/>
              <w:rPr>
                <w:rFonts w:ascii="Times New Roman" w:hAnsi="Times New Roman" w:cs="Times New Roman"/>
                <w:color w:val="000000"/>
              </w:rPr>
            </w:pPr>
            <w:r>
              <w:rPr>
                <w:rFonts w:eastAsia="" w:cs="Times New Roman"/>
                <w:color w:val="000000"/>
                <w:kern w:val="0"/>
                <w:szCs w:val="22"/>
                <w:lang w:val="ru-RU" w:eastAsia="ru-RU" w:bidi="ar-SA"/>
              </w:rPr>
            </w:r>
          </w:p>
        </w:tc>
        <w:tc>
          <w:tcPr>
            <w:tcW w:w="2592"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113"/>
              <w:jc w:val="center"/>
              <w:rPr>
                <w:rFonts w:ascii="Times New Roman" w:hAnsi="Times New Roman" w:cs="Times New Roman"/>
                <w:color w:val="000000"/>
              </w:rPr>
            </w:pPr>
            <w:r>
              <w:rPr>
                <w:rFonts w:eastAsia="" w:cs="Times New Roman"/>
                <w:color w:val="000000"/>
                <w:kern w:val="0"/>
                <w:szCs w:val="22"/>
                <w:lang w:val="ru-RU" w:eastAsia="ru-RU" w:bidi="ar-SA"/>
              </w:rPr>
            </w:r>
          </w:p>
        </w:tc>
        <w:tc>
          <w:tcPr>
            <w:tcW w:w="2264"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113"/>
              <w:jc w:val="center"/>
              <w:rPr>
                <w:rFonts w:ascii="Times New Roman" w:hAnsi="Times New Roman" w:cs="Times New Roman"/>
                <w:color w:val="000000"/>
              </w:rPr>
            </w:pPr>
            <w:r>
              <w:rPr>
                <w:rFonts w:eastAsia="" w:cs="Times New Roman"/>
                <w:color w:val="000000"/>
                <w:kern w:val="0"/>
                <w:szCs w:val="22"/>
                <w:lang w:val="ru-RU" w:eastAsia="ru-RU" w:bidi="ar-SA"/>
              </w:rPr>
            </w:r>
          </w:p>
        </w:tc>
        <w:tc>
          <w:tcPr>
            <w:tcW w:w="2192"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ind w:hanging="113"/>
              <w:jc w:val="center"/>
              <w:rPr>
                <w:rFonts w:ascii="Times New Roman" w:hAnsi="Times New Roman" w:cs="Times New Roman"/>
                <w:color w:val="000000"/>
              </w:rPr>
            </w:pPr>
            <w:r>
              <w:rPr>
                <w:rFonts w:eastAsia="" w:cs="Times New Roman"/>
                <w:color w:val="000000"/>
                <w:kern w:val="0"/>
                <w:szCs w:val="22"/>
                <w:lang w:val="ru-RU" w:eastAsia="ru-RU" w:bidi="ar-SA"/>
              </w:rPr>
            </w:r>
          </w:p>
        </w:tc>
      </w:tr>
    </w:tbl>
    <w:p>
      <w:pPr>
        <w:pStyle w:val="Normal"/>
        <w:ind w:left="6096" w:hanging="0"/>
        <w:rPr>
          <w:color w:val="000000"/>
          <w:szCs w:val="28"/>
        </w:rPr>
      </w:pPr>
      <w:r>
        <w:rPr>
          <w:color w:val="000000"/>
          <w:szCs w:val="28"/>
        </w:rPr>
      </w:r>
    </w:p>
    <w:p>
      <w:pPr>
        <w:pStyle w:val="Normal"/>
        <w:suppressAutoHyphens w:val="true"/>
        <w:rPr>
          <w:color w:val="000000"/>
          <w:szCs w:val="28"/>
        </w:rPr>
      </w:pPr>
      <w:r>
        <w:rPr>
          <w:color w:val="000000"/>
          <w:szCs w:val="28"/>
        </w:rPr>
      </w:r>
      <w:r>
        <w:br w:type="page"/>
      </w:r>
    </w:p>
    <w:p>
      <w:pPr>
        <w:pStyle w:val="24"/>
        <w:rPr/>
      </w:pPr>
      <w:bookmarkStart w:id="144" w:name="_Toc145919167"/>
      <w:bookmarkStart w:id="145" w:name="_Ref150243907"/>
      <w:r>
        <w:rPr/>
        <w:t>Приложение № </w:t>
      </w:r>
      <w:r>
        <w:rPr/>
        <w:fldChar w:fldCharType="begin"/>
      </w:r>
      <w:r>
        <w:rPr/>
        <w:instrText xml:space="preserve"> SEQ Приложение_№ \* ARABIC </w:instrText>
      </w:r>
      <w:r>
        <w:rPr/>
        <w:fldChar w:fldCharType="separate"/>
      </w:r>
      <w:r>
        <w:rPr/>
        <w:t>13</w:t>
      </w:r>
      <w:r>
        <w:rPr/>
        <w:fldChar w:fldCharType="end"/>
      </w:r>
      <w:bookmarkEnd w:id="145"/>
    </w:p>
    <w:p>
      <w:pPr>
        <w:pStyle w:val="Style32"/>
        <w:rPr/>
      </w:pPr>
      <w:bookmarkStart w:id="146" w:name="_Toc145919167"/>
      <w:bookmarkStart w:id="147" w:name="_Toc150263837"/>
      <w:r>
        <w:rPr/>
        <w:t>Форма обращения (запроса) субъекта ПДн о получении информации, касающейся обработки ПДн</w:t>
      </w:r>
      <w:bookmarkEnd w:id="146"/>
      <w:bookmarkEnd w:id="147"/>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5947"/>
        <w:gridCol w:w="3689"/>
      </w:tblGrid>
      <w:tr>
        <w:trPr>
          <w:trHeight w:val="304" w:hRule="atLeast"/>
        </w:trPr>
        <w:tc>
          <w:tcPr>
            <w:tcW w:w="5947" w:type="dxa"/>
            <w:tcBorders/>
          </w:tcPr>
          <w:p>
            <w:pPr>
              <w:pStyle w:val="Normal"/>
              <w:widowControl w:val="false"/>
              <w:rPr>
                <w:color w:val="000000"/>
                <w:szCs w:val="28"/>
              </w:rPr>
            </w:pPr>
            <w:r>
              <w:rPr>
                <w:color w:val="000000"/>
                <w:szCs w:val="28"/>
              </w:rPr>
            </w:r>
          </w:p>
        </w:tc>
        <w:tc>
          <w:tcPr>
            <w:tcW w:w="3689" w:type="dxa"/>
            <w:tcBorders/>
            <w:vAlign w:val="bottom"/>
          </w:tcPr>
          <w:p>
            <w:pPr>
              <w:pStyle w:val="Normal"/>
              <w:widowControl w:val="false"/>
              <w:rPr>
                <w:color w:val="000000"/>
              </w:rPr>
            </w:pPr>
            <w:r>
              <w:rPr>
                <w:color w:val="000000"/>
                <w:szCs w:val="28"/>
              </w:rPr>
              <w:t>Ректору АНО ДПО «Техническая академия Росатома»</w:t>
            </w:r>
          </w:p>
          <w:p>
            <w:pPr>
              <w:pStyle w:val="Normal"/>
              <w:widowControl w:val="false"/>
              <w:rPr>
                <w:color w:val="000000"/>
              </w:rPr>
            </w:pPr>
            <w:r>
              <w:rPr>
                <w:color w:val="000000"/>
                <w:szCs w:val="28"/>
                <w:u w:val="single"/>
              </w:rPr>
              <w:t>_________________</w:t>
            </w:r>
            <w:r>
              <w:rPr>
                <w:color w:val="000000"/>
                <w:szCs w:val="28"/>
              </w:rPr>
              <w:t>__(ФИО)</w:t>
            </w:r>
          </w:p>
        </w:tc>
      </w:tr>
    </w:tbl>
    <w:p>
      <w:pPr>
        <w:pStyle w:val="13"/>
        <w:rPr>
          <w:b w:val="false"/>
          <w:b w:val="false"/>
          <w:color w:val="000000"/>
          <w:szCs w:val="28"/>
        </w:rPr>
      </w:pPr>
      <w:r>
        <w:rPr>
          <w:b w:val="false"/>
          <w:color w:val="000000"/>
          <w:szCs w:val="28"/>
        </w:rPr>
      </w:r>
    </w:p>
    <w:p>
      <w:pPr>
        <w:pStyle w:val="Normal"/>
        <w:jc w:val="center"/>
        <w:rPr>
          <w:color w:val="000000"/>
        </w:rPr>
      </w:pPr>
      <w:r>
        <w:rPr>
          <w:b/>
          <w:color w:val="000000"/>
          <w:szCs w:val="28"/>
        </w:rPr>
        <w:t>Обращение (запрос)</w:t>
      </w:r>
      <w:r>
        <w:rPr>
          <w:rStyle w:val="Style15"/>
          <w:b/>
          <w:color w:val="000000"/>
          <w:sz w:val="36"/>
          <w:szCs w:val="36"/>
        </w:rPr>
        <w:footnoteReference w:id="5"/>
      </w:r>
      <w:r>
        <w:rPr>
          <w:b/>
          <w:color w:val="000000"/>
          <w:szCs w:val="28"/>
        </w:rPr>
        <w:t xml:space="preserve"> субъекта персональных данных о получении информации, касающейся обработки персональных данных</w:t>
      </w:r>
    </w:p>
    <w:p>
      <w:pPr>
        <w:pStyle w:val="Normal"/>
        <w:ind w:left="641" w:hanging="0"/>
        <w:jc w:val="center"/>
        <w:rPr>
          <w:color w:val="000000"/>
          <w:szCs w:val="28"/>
        </w:rPr>
      </w:pPr>
      <w:r>
        <w:rPr>
          <w:color w:val="000000"/>
          <w:szCs w:val="28"/>
        </w:rPr>
      </w:r>
    </w:p>
    <w:p>
      <w:pPr>
        <w:pStyle w:val="Normal"/>
        <w:rPr>
          <w:color w:val="000000"/>
        </w:rPr>
      </w:pPr>
      <w:r>
        <w:rPr>
          <w:color w:val="000000"/>
          <w:szCs w:val="28"/>
        </w:rPr>
        <w:t>Я,_______________________________________________________________</w:t>
      </w:r>
    </w:p>
    <w:p>
      <w:pPr>
        <w:pStyle w:val="Normal"/>
        <w:ind w:left="64" w:hanging="0"/>
        <w:rPr>
          <w:color w:val="000000"/>
        </w:rPr>
      </w:pPr>
      <w:r>
        <w:rPr>
          <w:color w:val="000000"/>
          <w:sz w:val="22"/>
          <w:szCs w:val="22"/>
        </w:rPr>
        <w:t xml:space="preserve">(фамилия, имя, отчество) </w:t>
      </w:r>
      <w:r>
        <w:rPr>
          <w:color w:val="000000"/>
          <w:szCs w:val="28"/>
        </w:rPr>
        <w:t>паспорт______</w:t>
      </w:r>
      <w:r>
        <w:rPr>
          <w:color w:val="000000"/>
          <w:szCs w:val="28"/>
          <w:u w:val="single"/>
        </w:rPr>
        <w:t>№</w:t>
      </w:r>
      <w:r>
        <w:rPr>
          <w:color w:val="000000"/>
          <w:szCs w:val="28"/>
        </w:rPr>
        <w:t xml:space="preserve">_________выдан </w:t>
      </w:r>
      <w:r>
        <w:rPr>
          <w:color w:val="000000"/>
          <w:szCs w:val="28"/>
          <w:u w:val="single"/>
        </w:rPr>
        <w:t>__________________________________</w:t>
      </w:r>
      <w:r>
        <w:rPr>
          <w:color w:val="000000"/>
          <w:szCs w:val="28"/>
        </w:rPr>
        <w:t>_(</w:t>
      </w:r>
      <w:r>
        <w:rPr>
          <w:color w:val="000000"/>
          <w:sz w:val="22"/>
          <w:szCs w:val="22"/>
        </w:rPr>
        <w:t>кем выдан паспорт</w:t>
      </w:r>
      <w:r>
        <w:rPr>
          <w:color w:val="000000"/>
          <w:szCs w:val="28"/>
        </w:rPr>
        <w:t xml:space="preserve">), проживающий(ая) по адресу________________________ </w:t>
      </w:r>
      <w:r>
        <w:rPr>
          <w:color w:val="000000"/>
          <w:sz w:val="22"/>
          <w:szCs w:val="22"/>
        </w:rPr>
        <w:t>(адрес места жительства по паспорту)</w:t>
      </w:r>
      <w:r>
        <w:rPr>
          <w:color w:val="000000"/>
          <w:szCs w:val="28"/>
        </w:rPr>
        <w:t xml:space="preserve"> подтверждаю, что предоставлял(а) свои персональные данные в АНО ДПО «Техническая Академия Росатома» в</w:t>
      </w:r>
      <w:r>
        <w:rPr>
          <w:color w:val="000000"/>
        </w:rPr>
        <w:t xml:space="preserve"> </w:t>
      </w:r>
      <w:r>
        <w:rPr>
          <w:color w:val="000000"/>
          <w:szCs w:val="28"/>
        </w:rPr>
        <w:t>связи с_</w:t>
      </w:r>
      <w:r>
        <w:rPr>
          <w:color w:val="000000"/>
          <w:szCs w:val="28"/>
          <w:u w:val="single"/>
        </w:rPr>
        <w:t>_________________________________________</w:t>
      </w:r>
    </w:p>
    <w:p>
      <w:pPr>
        <w:pStyle w:val="Normal"/>
        <w:ind w:firstLine="3612"/>
        <w:rPr>
          <w:color w:val="000000"/>
        </w:rPr>
      </w:pPr>
      <w:r>
        <w:rPr>
          <w:color w:val="000000"/>
          <w:sz w:val="22"/>
          <w:szCs w:val="22"/>
        </w:rPr>
        <w:t>(указываются сведения о процессе, в рамках которого предоставлялись персональные данные (далее-ПДн), подтверждающие участие субъекта ПДн в отношениях с АНО ДПО «Техническая академия Росатома», либо сведения, подтверждающие факт обработки ПДн)</w:t>
      </w:r>
    </w:p>
    <w:p>
      <w:pPr>
        <w:pStyle w:val="Normal"/>
        <w:ind w:left="14" w:firstLine="4"/>
        <w:rPr>
          <w:color w:val="000000"/>
        </w:rPr>
      </w:pPr>
      <w:r>
        <w:rPr>
          <w:color w:val="000000"/>
          <w:szCs w:val="28"/>
        </w:rPr>
        <w:t>В соответствии со статьей 14 Федерального закона от 27 июля 2006 года № 152</w:t>
        <w:noBreakHyphen/>
        <w:t>ФЗ «О персональных данных» прошу предоставить информацию, касающуюся обработки моих персональных данных в АНО ДПО «Техническая академия Росатома», в том числе содержащую:</w:t>
      </w:r>
    </w:p>
    <w:p>
      <w:pPr>
        <w:pStyle w:val="111"/>
        <w:numPr>
          <w:ilvl w:val="0"/>
          <w:numId w:val="47"/>
        </w:numPr>
        <w:rPr>
          <w:color w:val="000000"/>
        </w:rPr>
      </w:pPr>
      <w:r>
        <w:rPr>
          <w:color w:val="000000"/>
        </w:rPr>
        <w:t>Подтверждение факта обработки персональных данных в АНО ДПО «Техническая академия Росатома»;</w:t>
      </w:r>
    </w:p>
    <w:p>
      <w:pPr>
        <w:pStyle w:val="111"/>
        <w:numPr>
          <w:ilvl w:val="0"/>
          <w:numId w:val="48"/>
        </w:numPr>
        <w:rPr>
          <w:color w:val="000000"/>
        </w:rPr>
      </w:pPr>
      <w:r>
        <w:rPr>
          <w:color w:val="000000"/>
        </w:rPr>
        <w:t>Правовые основания и цели обработки персональных данных;</w:t>
      </w:r>
    </w:p>
    <w:p>
      <w:pPr>
        <w:pStyle w:val="111"/>
        <w:numPr>
          <w:ilvl w:val="0"/>
          <w:numId w:val="49"/>
        </w:numPr>
        <w:rPr>
          <w:color w:val="000000"/>
        </w:rPr>
      </w:pPr>
      <w:r>
        <w:rPr>
          <w:color w:val="000000"/>
        </w:rPr>
        <w:t>Цели и применяемые АНО ДПО «Техническая академия Росатома» способы обработки персональных данных;</w:t>
      </w:r>
    </w:p>
    <w:p>
      <w:pPr>
        <w:pStyle w:val="111"/>
        <w:numPr>
          <w:ilvl w:val="0"/>
          <w:numId w:val="50"/>
        </w:numPr>
        <w:rPr>
          <w:color w:val="000000"/>
        </w:rPr>
      </w:pPr>
      <w:r>
        <w:rPr>
          <w:color w:val="000000"/>
        </w:rPr>
        <w:t>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pPr>
        <w:pStyle w:val="111"/>
        <w:numPr>
          <w:ilvl w:val="0"/>
          <w:numId w:val="51"/>
        </w:numPr>
        <w:rPr>
          <w:color w:val="000000"/>
        </w:rPr>
      </w:pPr>
      <w:r>
        <w:rPr>
          <w:color w:val="000000"/>
        </w:rPr>
        <w:t>Перечень обрабатываемых моих персональных данных, источники их получения, если иной порядок представления таких данных не предусмотрен федеральным законом;</w:t>
      </w:r>
    </w:p>
    <w:p>
      <w:pPr>
        <w:pStyle w:val="111"/>
        <w:numPr>
          <w:ilvl w:val="0"/>
          <w:numId w:val="52"/>
        </w:numPr>
        <w:rPr>
          <w:color w:val="000000"/>
        </w:rPr>
      </w:pPr>
      <w:r>
        <w:rPr>
          <w:color w:val="000000"/>
        </w:rPr>
        <w:t>Сроки обработки персональных данных, в том числе из хранения;</w:t>
      </w:r>
    </w:p>
    <w:p>
      <w:pPr>
        <w:pStyle w:val="111"/>
        <w:numPr>
          <w:ilvl w:val="0"/>
          <w:numId w:val="53"/>
        </w:numPr>
        <w:rPr>
          <w:color w:val="000000"/>
        </w:rPr>
      </w:pPr>
      <w:r>
        <w:rPr>
          <w:color w:val="000000"/>
        </w:rPr>
        <w:t>Порядок осуществления своих прав, предусмотренных Федеральным законом «О персональных данных»;</w:t>
      </w:r>
    </w:p>
    <w:p>
      <w:pPr>
        <w:pStyle w:val="111"/>
        <w:numPr>
          <w:ilvl w:val="0"/>
          <w:numId w:val="54"/>
        </w:numPr>
        <w:rPr>
          <w:color w:val="000000"/>
        </w:rPr>
      </w:pPr>
      <w:r>
        <w:rPr>
          <w:color w:val="000000"/>
        </w:rPr>
        <w:t>Информацию об осуществленной или о предполагаемой трансграничной передаче персональных данных;</w:t>
      </w:r>
    </w:p>
    <w:p>
      <w:pPr>
        <w:pStyle w:val="111"/>
        <w:numPr>
          <w:ilvl w:val="0"/>
          <w:numId w:val="55"/>
        </w:numPr>
        <w:rPr>
          <w:color w:val="000000"/>
        </w:rPr>
      </w:pPr>
      <w:r>
        <w:rPr>
          <w:color w:val="000000"/>
        </w:rPr>
        <w:t>Наименование (фамилию, имя, отчество) и адрес лица, осуществляющего обработку персональных данных по поручению АНО ДПО «Техническая академия Росатома», если обработка поручена или будет поручена такому лицу;</w:t>
      </w:r>
    </w:p>
    <w:p>
      <w:pPr>
        <w:pStyle w:val="111"/>
        <w:numPr>
          <w:ilvl w:val="0"/>
          <w:numId w:val="56"/>
        </w:numPr>
        <w:rPr>
          <w:color w:val="000000"/>
        </w:rPr>
      </w:pPr>
      <w:r>
        <w:rPr>
          <w:color w:val="000000"/>
        </w:rPr>
        <w:t>Иные сведения, предусмотренные Федеральным законом «О персональных данных» или другими федеральными законами.</w:t>
      </w:r>
    </w:p>
    <w:p>
      <w:pPr>
        <w:pStyle w:val="Normal"/>
        <w:ind w:left="432" w:hanging="0"/>
        <w:rPr>
          <w:color w:val="000000"/>
          <w:szCs w:val="28"/>
        </w:rPr>
      </w:pPr>
      <w:r>
        <w:rPr>
          <w:color w:val="000000"/>
          <w:szCs w:val="28"/>
        </w:rPr>
      </w:r>
    </w:p>
    <w:p>
      <w:pPr>
        <w:pStyle w:val="Normal"/>
        <w:ind w:left="432" w:hanging="0"/>
        <w:rPr>
          <w:color w:val="000000"/>
          <w:szCs w:val="28"/>
        </w:rPr>
      </w:pPr>
      <w:r>
        <w:rPr>
          <w:color w:val="000000"/>
          <w:szCs w:val="28"/>
        </w:rPr>
      </w:r>
    </w:p>
    <w:tbl>
      <w:tblPr>
        <w:tblStyle w:val="affb"/>
        <w:tblW w:w="9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3059"/>
        <w:gridCol w:w="1803"/>
        <w:gridCol w:w="4776"/>
      </w:tblGrid>
      <w:tr>
        <w:trPr>
          <w:trHeight w:val="139" w:hRule="atLeast"/>
        </w:trPr>
        <w:tc>
          <w:tcPr>
            <w:tcW w:w="3059"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Cs w:val="28"/>
                <w:lang w:val="ru-RU" w:eastAsia="en-US" w:bidi="ar-SA"/>
              </w:rPr>
              <w:t>_____________20____г</w:t>
            </w:r>
          </w:p>
        </w:tc>
        <w:tc>
          <w:tcPr>
            <w:tcW w:w="1803" w:type="dxa"/>
            <w:tcBorders>
              <w:top w:val="nil"/>
              <w:left w:val="nil"/>
              <w:bottom w:val="nil"/>
              <w:right w:val="nil"/>
            </w:tcBorders>
          </w:tcPr>
          <w:p>
            <w:pPr>
              <w:pStyle w:val="Normal"/>
              <w:widowControl/>
              <w:spacing w:before="0" w:after="0"/>
              <w:jc w:val="left"/>
              <w:rPr>
                <w:rFonts w:ascii="Times New Roman" w:hAnsi="Times New Roman" w:cs="Times New Roman"/>
                <w:color w:val="000000"/>
                <w:sz w:val="24"/>
                <w:szCs w:val="24"/>
              </w:rPr>
            </w:pPr>
            <w:r>
              <w:rPr>
                <w:rFonts w:eastAsia="Calibri" w:cs="Times New Roman"/>
                <w:color w:val="000000"/>
                <w:kern w:val="0"/>
                <w:sz w:val="24"/>
                <w:szCs w:val="22"/>
                <w:lang w:val="ru-RU" w:eastAsia="en-US" w:bidi="ar-SA"/>
              </w:rPr>
            </w:r>
          </w:p>
        </w:tc>
        <w:tc>
          <w:tcPr>
            <w:tcW w:w="4776" w:type="dxa"/>
            <w:tcBorders>
              <w:top w:val="nil"/>
              <w:left w:val="nil"/>
              <w:bottom w:val="nil"/>
              <w:right w:val="nil"/>
            </w:tcBorders>
          </w:tcPr>
          <w:p>
            <w:pPr>
              <w:pStyle w:val="Normal"/>
              <w:widowControl/>
              <w:spacing w:before="0" w:after="0"/>
              <w:jc w:val="left"/>
              <w:rPr>
                <w:rFonts w:ascii="Times New Roman" w:hAnsi="Times New Roman" w:cs="Times New Roman"/>
                <w:color w:val="000000"/>
              </w:rPr>
            </w:pPr>
            <w:r>
              <w:rPr>
                <w:rFonts w:eastAsia="Calibri" w:cs="Times New Roman"/>
                <w:color w:val="000000"/>
                <w:kern w:val="0"/>
                <w:sz w:val="24"/>
                <w:szCs w:val="24"/>
                <w:lang w:val="ru-RU" w:eastAsia="en-US" w:bidi="ar-SA"/>
              </w:rPr>
              <w:t>______________________________________</w:t>
            </w:r>
          </w:p>
        </w:tc>
      </w:tr>
      <w:tr>
        <w:trPr>
          <w:trHeight w:val="139" w:hRule="atLeast"/>
        </w:trPr>
        <w:tc>
          <w:tcPr>
            <w:tcW w:w="3059"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 w:val="24"/>
                <w:szCs w:val="24"/>
                <w:lang w:val="ru-RU" w:eastAsia="en-US" w:bidi="ar-SA"/>
              </w:rPr>
              <w:t>(дата)</w:t>
            </w:r>
          </w:p>
        </w:tc>
        <w:tc>
          <w:tcPr>
            <w:tcW w:w="1803" w:type="dxa"/>
            <w:tcBorders>
              <w:top w:val="nil"/>
              <w:left w:val="nil"/>
              <w:bottom w:val="nil"/>
              <w:right w:val="nil"/>
            </w:tcBorders>
          </w:tcPr>
          <w:p>
            <w:pPr>
              <w:pStyle w:val="Normal"/>
              <w:widowControl/>
              <w:spacing w:before="0" w:after="0"/>
              <w:jc w:val="left"/>
              <w:rPr>
                <w:rFonts w:ascii="Times New Roman" w:hAnsi="Times New Roman" w:cs="Times New Roman"/>
                <w:color w:val="000000"/>
                <w:sz w:val="24"/>
                <w:szCs w:val="24"/>
              </w:rPr>
            </w:pPr>
            <w:r>
              <w:rPr>
                <w:rFonts w:eastAsia="Calibri" w:cs="Times New Roman"/>
                <w:color w:val="000000"/>
                <w:kern w:val="0"/>
                <w:sz w:val="24"/>
                <w:szCs w:val="22"/>
                <w:lang w:val="ru-RU" w:eastAsia="en-US" w:bidi="ar-SA"/>
              </w:rPr>
            </w:r>
          </w:p>
        </w:tc>
        <w:tc>
          <w:tcPr>
            <w:tcW w:w="4776"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 w:val="24"/>
                <w:szCs w:val="24"/>
                <w:lang w:val="ru-RU" w:eastAsia="en-US" w:bidi="ar-SA"/>
              </w:rPr>
              <w:t>(подпись) (расшифровка подписи)</w:t>
            </w:r>
          </w:p>
        </w:tc>
      </w:tr>
    </w:tbl>
    <w:p>
      <w:pPr>
        <w:pStyle w:val="Normal"/>
        <w:rPr>
          <w:color w:val="000000"/>
          <w:sz w:val="20"/>
        </w:rPr>
      </w:pPr>
      <w:r>
        <w:rPr>
          <w:color w:val="000000"/>
          <w:sz w:val="20"/>
        </w:rPr>
      </w:r>
    </w:p>
    <w:p>
      <w:pPr>
        <w:pStyle w:val="Normal"/>
        <w:suppressAutoHyphens w:val="true"/>
        <w:rPr>
          <w:color w:val="000000"/>
          <w:szCs w:val="28"/>
        </w:rPr>
      </w:pPr>
      <w:r>
        <w:rPr>
          <w:color w:val="000000"/>
          <w:szCs w:val="28"/>
        </w:rPr>
      </w:r>
      <w:r>
        <w:br w:type="page"/>
      </w:r>
    </w:p>
    <w:p>
      <w:pPr>
        <w:pStyle w:val="24"/>
        <w:rPr/>
      </w:pPr>
      <w:bookmarkStart w:id="148" w:name="_Ref150243917"/>
      <w:r>
        <w:rPr/>
        <w:t>Приложение № </w:t>
      </w:r>
      <w:r>
        <w:rPr/>
        <w:fldChar w:fldCharType="begin"/>
      </w:r>
      <w:r>
        <w:rPr/>
        <w:instrText xml:space="preserve"> SEQ Приложение_№ \* ARABIC </w:instrText>
      </w:r>
      <w:r>
        <w:rPr/>
        <w:fldChar w:fldCharType="separate"/>
      </w:r>
      <w:r>
        <w:rPr/>
        <w:t>14</w:t>
      </w:r>
      <w:r>
        <w:rPr/>
        <w:fldChar w:fldCharType="end"/>
      </w:r>
      <w:bookmarkEnd w:id="148"/>
    </w:p>
    <w:p>
      <w:pPr>
        <w:pStyle w:val="Normal"/>
        <w:ind w:left="6096" w:hanging="0"/>
        <w:rPr>
          <w:color w:val="000000"/>
        </w:rPr>
      </w:pPr>
      <w:r>
        <w:rPr>
          <w:color w:val="000000"/>
          <w:szCs w:val="28"/>
        </w:rPr>
        <w:t>Ректору АНО ДПО «Техническая академия Росатома»</w:t>
      </w:r>
    </w:p>
    <w:p>
      <w:pPr>
        <w:pStyle w:val="Normal"/>
        <w:ind w:left="6096" w:hanging="0"/>
        <w:rPr>
          <w:color w:val="000000"/>
        </w:rPr>
      </w:pPr>
      <w:r>
        <w:rPr>
          <w:color w:val="000000"/>
          <w:szCs w:val="28"/>
        </w:rPr>
        <w:t>___________________(ФИО)</w:t>
      </w:r>
    </w:p>
    <w:p>
      <w:pPr>
        <w:pStyle w:val="Style32"/>
        <w:rPr>
          <w:color w:val="000000"/>
        </w:rPr>
      </w:pPr>
      <w:bookmarkStart w:id="149" w:name="_Toc150263838"/>
      <w:bookmarkStart w:id="150" w:name="_Toc145919168"/>
      <w:bookmarkStart w:id="151" w:name="_Toc100588945"/>
      <w:r>
        <w:rPr>
          <w:color w:val="000000"/>
        </w:rPr>
        <w:t>Отзыв согласия на обработку персональных данных</w:t>
      </w:r>
      <w:bookmarkEnd w:id="149"/>
      <w:bookmarkEnd w:id="150"/>
      <w:bookmarkEnd w:id="151"/>
    </w:p>
    <w:p>
      <w:pPr>
        <w:pStyle w:val="Normal"/>
        <w:rPr>
          <w:color w:val="000000"/>
        </w:rPr>
      </w:pPr>
      <w:r>
        <w:rPr>
          <w:b/>
          <w:color w:val="000000"/>
        </w:rPr>
        <w:t>Я</w:t>
      </w:r>
      <w:r>
        <w:rPr>
          <w:color w:val="000000"/>
        </w:rPr>
        <w:t>,__________________________________________________________________</w:t>
      </w:r>
    </w:p>
    <w:p>
      <w:pPr>
        <w:pStyle w:val="Normal"/>
        <w:ind w:left="64" w:right="-28" w:hanging="0"/>
        <w:rPr>
          <w:color w:val="000000"/>
        </w:rPr>
      </w:pPr>
      <w:r>
        <w:rPr>
          <w:color w:val="000000"/>
          <w:szCs w:val="28"/>
        </w:rPr>
        <w:t xml:space="preserve">(фамилия, имя, отчество) паспорт </w:t>
      </w:r>
    </w:p>
    <w:p>
      <w:pPr>
        <w:pStyle w:val="Normal"/>
        <w:ind w:left="64" w:right="-28" w:hanging="0"/>
        <w:rPr>
          <w:color w:val="000000"/>
        </w:rPr>
      </w:pPr>
      <w:r>
        <w:rPr>
          <w:color w:val="000000"/>
          <w:szCs w:val="28"/>
        </w:rPr>
        <w:t>__________№________________________________________________________</w:t>
      </w:r>
    </w:p>
    <w:p>
      <w:pPr>
        <w:pStyle w:val="Normal"/>
        <w:tabs>
          <w:tab w:val="clear" w:pos="720"/>
          <w:tab w:val="center" w:pos="1848" w:leader="none"/>
          <w:tab w:val="center" w:pos="4345" w:leader="none"/>
          <w:tab w:val="center" w:pos="7784" w:leader="none"/>
        </w:tabs>
        <w:ind w:right="-28" w:hanging="0"/>
        <w:rPr>
          <w:color w:val="000000"/>
        </w:rPr>
      </w:pPr>
      <w:r>
        <w:rPr>
          <w:color w:val="000000"/>
          <w:szCs w:val="28"/>
        </w:rPr>
        <w:t>(серия)</w:t>
        <w:tab/>
        <w:t xml:space="preserve"> (номер) </w:t>
        <w:tab/>
        <w:t>(дата выдачи) (кем выдан паспорт), проживающий(ая) по адресу_______________________________________________________________</w:t>
      </w:r>
    </w:p>
    <w:p>
      <w:pPr>
        <w:pStyle w:val="Normal"/>
        <w:ind w:left="2492" w:right="-28" w:hanging="10"/>
        <w:rPr>
          <w:color w:val="000000"/>
        </w:rPr>
      </w:pPr>
      <w:r>
        <w:rPr>
          <w:color w:val="000000"/>
          <w:szCs w:val="28"/>
        </w:rPr>
        <w:t xml:space="preserve"> </w:t>
      </w:r>
      <w:r>
        <w:rPr>
          <w:color w:val="000000"/>
          <w:szCs w:val="28"/>
        </w:rPr>
        <w:t>(адрес места жительства по паспорту)</w:t>
      </w:r>
    </w:p>
    <w:p>
      <w:pPr>
        <w:pStyle w:val="Normal"/>
        <w:ind w:left="64" w:hanging="0"/>
        <w:rPr>
          <w:color w:val="000000"/>
        </w:rPr>
      </w:pPr>
      <w:r>
        <w:rPr>
          <w:color w:val="000000"/>
          <w:szCs w:val="28"/>
        </w:rPr>
        <w:t>Предоставлял(а) свои персональные данные в АНО ДПО «Техническая академия Росатома» в связи с __________________________.</w:t>
      </w:r>
    </w:p>
    <w:p>
      <w:pPr>
        <w:pStyle w:val="Normal"/>
        <w:ind w:firstLine="3612"/>
        <w:rPr>
          <w:color w:val="000000"/>
        </w:rPr>
      </w:pPr>
      <w:r>
        <w:rPr>
          <w:color w:val="000000"/>
          <w:sz w:val="22"/>
          <w:szCs w:val="22"/>
        </w:rPr>
        <w:t>(указываются сведения о процессе, в рамках которого предоставлялись персональные данные (далее-ПДн), подтверждающие участие субъекта ПДн в отношениях с АНО ДПО «Техническая академия Росатома», либо сведения, подтверждающие факт обработки ПДн)</w:t>
      </w:r>
    </w:p>
    <w:p>
      <w:pPr>
        <w:pStyle w:val="Normal"/>
        <w:ind w:left="14" w:right="-1" w:firstLine="4"/>
        <w:rPr>
          <w:color w:val="000000"/>
          <w:szCs w:val="28"/>
        </w:rPr>
      </w:pPr>
      <w:r>
        <w:rPr>
          <w:color w:val="000000"/>
          <w:szCs w:val="28"/>
        </w:rPr>
        <w:t>В соответствии с частью 2 статьи 9 и частью 5 статьи 21 Федерального закона от 27 июля 2006 г. № 152-ФЗ «О персональных данных» прошу АНО ДПО «Техническая академия Росатома» прекратить обработку моих персональных данных (или обеспечить прекращение обработки моих персональных данных другим лицом, действующим по поручению АНО ДПО «Техническая академия Росатома»)</w:t>
      </w:r>
      <w:r>
        <w:rPr>
          <w:rStyle w:val="Style15"/>
          <w:color w:val="000000"/>
          <w:szCs w:val="28"/>
        </w:rPr>
        <w:footnoteReference w:id="6"/>
      </w:r>
    </w:p>
    <w:p>
      <w:pPr>
        <w:sectPr>
          <w:headerReference w:type="default" r:id="rId33"/>
          <w:footerReference w:type="default" r:id="rId34"/>
          <w:footnotePr>
            <w:numFmt w:val="chicago"/>
            <w:numRestart w:val="eachSect"/>
          </w:footnotePr>
          <w:type w:val="nextPage"/>
          <w:pgSz w:w="11906" w:h="16838"/>
          <w:pgMar w:left="1418" w:right="851" w:gutter="0" w:header="567" w:top="1559" w:footer="567" w:bottom="709"/>
          <w:pgNumType w:fmt="decimal"/>
          <w:formProt w:val="false"/>
          <w:textDirection w:val="lrTb"/>
          <w:docGrid w:type="default" w:linePitch="312" w:charSpace="4294952959"/>
        </w:sectPr>
      </w:pPr>
    </w:p>
    <w:p>
      <w:pPr>
        <w:pStyle w:val="Normal"/>
        <w:ind w:left="14" w:right="-1" w:firstLine="4"/>
        <w:rPr>
          <w:color w:val="000000"/>
        </w:rPr>
      </w:pPr>
      <w:r>
        <w:rPr>
          <w:color w:val="000000"/>
          <w:szCs w:val="28"/>
        </w:rPr>
        <w:t>и уничтожить их (или обеспечить их уничтожение) в срок, не превышающий 30 дней с даты поступления и регистрации указанного отзыва, если иное не предусмотрено законодательством Российской Федерации.</w:t>
      </w:r>
    </w:p>
    <w:p>
      <w:pPr>
        <w:pStyle w:val="Normal"/>
        <w:ind w:left="14" w:right="-1" w:firstLine="4"/>
        <w:rPr>
          <w:color w:val="000000"/>
          <w:szCs w:val="28"/>
        </w:rPr>
      </w:pPr>
      <w:r>
        <w:rPr>
          <w:color w:val="000000"/>
          <w:szCs w:val="28"/>
        </w:rPr>
      </w:r>
    </w:p>
    <w:p>
      <w:pPr>
        <w:pStyle w:val="Normal"/>
        <w:ind w:left="14" w:right="-1" w:firstLine="4"/>
        <w:rPr>
          <w:color w:val="000000"/>
          <w:szCs w:val="28"/>
        </w:rPr>
      </w:pPr>
      <w:r>
        <w:rPr>
          <w:color w:val="000000"/>
          <w:szCs w:val="28"/>
        </w:rPr>
      </w:r>
    </w:p>
    <w:tbl>
      <w:tblPr>
        <w:tblStyle w:val="affb"/>
        <w:tblW w:w="9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3059"/>
        <w:gridCol w:w="1800"/>
        <w:gridCol w:w="4779"/>
      </w:tblGrid>
      <w:tr>
        <w:trPr>
          <w:trHeight w:val="139" w:hRule="atLeast"/>
        </w:trPr>
        <w:tc>
          <w:tcPr>
            <w:tcW w:w="3059" w:type="dxa"/>
            <w:tcBorders>
              <w:top w:val="nil"/>
              <w:left w:val="nil"/>
              <w:bottom w:val="nil"/>
              <w:right w:val="nil"/>
            </w:tcBorders>
          </w:tcPr>
          <w:p>
            <w:pPr>
              <w:pStyle w:val="Normal"/>
              <w:widowControl/>
              <w:spacing w:before="0" w:after="0"/>
              <w:jc w:val="center"/>
              <w:rPr>
                <w:rFonts w:ascii="Times New Roman" w:hAnsi="Times New Roman" w:cs="Times New Roman"/>
                <w:color w:val="000000"/>
              </w:rPr>
            </w:pPr>
            <w:r>
              <w:rPr>
                <w:rFonts w:eastAsia="Calibri" w:cs="Times New Roman"/>
                <w:color w:val="000000"/>
                <w:kern w:val="0"/>
                <w:szCs w:val="28"/>
                <w:lang w:val="ru-RU" w:eastAsia="en-US" w:bidi="ar-SA"/>
              </w:rPr>
              <w:t>_____________20____г</w:t>
            </w:r>
          </w:p>
        </w:tc>
        <w:tc>
          <w:tcPr>
            <w:tcW w:w="1800" w:type="dxa"/>
            <w:tcBorders>
              <w:top w:val="nil"/>
              <w:left w:val="nil"/>
              <w:bottom w:val="nil"/>
              <w:right w:val="nil"/>
            </w:tcBorders>
          </w:tcPr>
          <w:p>
            <w:pPr>
              <w:pStyle w:val="Normal"/>
              <w:widowControl/>
              <w:spacing w:before="0" w:after="0"/>
              <w:jc w:val="left"/>
              <w:rPr>
                <w:rFonts w:ascii="Times New Roman" w:hAnsi="Times New Roman" w:cs="Times New Roman"/>
                <w:color w:val="000000"/>
                <w:sz w:val="24"/>
                <w:szCs w:val="24"/>
              </w:rPr>
            </w:pPr>
            <w:r>
              <w:rPr>
                <w:rFonts w:eastAsia="Calibri" w:cs="Times New Roman"/>
                <w:color w:val="000000"/>
                <w:kern w:val="0"/>
                <w:sz w:val="24"/>
                <w:szCs w:val="22"/>
                <w:lang w:val="ru-RU" w:eastAsia="en-US" w:bidi="ar-SA"/>
              </w:rPr>
            </w:r>
          </w:p>
        </w:tc>
        <w:tc>
          <w:tcPr>
            <w:tcW w:w="4779" w:type="dxa"/>
            <w:tcBorders>
              <w:top w:val="nil"/>
              <w:left w:val="nil"/>
              <w:bottom w:val="nil"/>
              <w:right w:val="nil"/>
            </w:tcBorders>
          </w:tcPr>
          <w:p>
            <w:pPr>
              <w:pStyle w:val="Normal"/>
              <w:widowControl/>
              <w:spacing w:before="0" w:after="0"/>
              <w:jc w:val="left"/>
              <w:rPr>
                <w:rFonts w:ascii="Times New Roman" w:hAnsi="Times New Roman" w:cs="Times New Roman"/>
                <w:color w:val="000000"/>
              </w:rPr>
            </w:pPr>
            <w:r>
              <w:rPr>
                <w:rFonts w:eastAsia="Calibri" w:cs="Times New Roman"/>
                <w:color w:val="000000"/>
                <w:kern w:val="0"/>
                <w:sz w:val="24"/>
                <w:szCs w:val="24"/>
                <w:lang w:val="ru-RU" w:eastAsia="en-US" w:bidi="ar-SA"/>
              </w:rPr>
              <w:t>_______________/__________________ФИО</w:t>
            </w:r>
          </w:p>
        </w:tc>
      </w:tr>
      <w:tr>
        <w:trPr>
          <w:trHeight w:val="139" w:hRule="atLeast"/>
        </w:trPr>
        <w:tc>
          <w:tcPr>
            <w:tcW w:w="3059" w:type="dxa"/>
            <w:tcBorders>
              <w:top w:val="nil"/>
              <w:left w:val="nil"/>
              <w:bottom w:val="nil"/>
              <w:right w:val="nil"/>
            </w:tcBorders>
          </w:tcPr>
          <w:p>
            <w:pPr>
              <w:pStyle w:val="Normal"/>
              <w:widowControl/>
              <w:spacing w:before="0" w:after="0"/>
              <w:jc w:val="center"/>
              <w:rPr>
                <w:rFonts w:ascii="Times New Roman" w:hAnsi="Times New Roman" w:cs="Times New Roman"/>
                <w:color w:val="000000"/>
                <w:sz w:val="24"/>
                <w:szCs w:val="24"/>
              </w:rPr>
            </w:pPr>
            <w:r>
              <w:rPr>
                <w:rFonts w:eastAsia="Calibri" w:cs="Times New Roman"/>
                <w:color w:val="000000"/>
                <w:kern w:val="0"/>
                <w:sz w:val="24"/>
                <w:szCs w:val="22"/>
                <w:lang w:val="ru-RU" w:eastAsia="en-US" w:bidi="ar-SA"/>
              </w:rPr>
            </w:r>
          </w:p>
        </w:tc>
        <w:tc>
          <w:tcPr>
            <w:tcW w:w="1800" w:type="dxa"/>
            <w:tcBorders>
              <w:top w:val="nil"/>
              <w:left w:val="nil"/>
              <w:bottom w:val="nil"/>
              <w:right w:val="nil"/>
            </w:tcBorders>
          </w:tcPr>
          <w:p>
            <w:pPr>
              <w:pStyle w:val="Normal"/>
              <w:widowControl/>
              <w:spacing w:before="0" w:after="0"/>
              <w:jc w:val="left"/>
              <w:rPr>
                <w:rFonts w:ascii="Times New Roman" w:hAnsi="Times New Roman" w:cs="Times New Roman"/>
                <w:color w:val="000000"/>
                <w:sz w:val="24"/>
                <w:szCs w:val="24"/>
              </w:rPr>
            </w:pPr>
            <w:r>
              <w:rPr>
                <w:rFonts w:eastAsia="Calibri" w:cs="Times New Roman"/>
                <w:color w:val="000000"/>
                <w:kern w:val="0"/>
                <w:sz w:val="24"/>
                <w:szCs w:val="22"/>
                <w:lang w:val="ru-RU" w:eastAsia="en-US" w:bidi="ar-SA"/>
              </w:rPr>
            </w:r>
          </w:p>
        </w:tc>
        <w:tc>
          <w:tcPr>
            <w:tcW w:w="4779" w:type="dxa"/>
            <w:tcBorders>
              <w:top w:val="nil"/>
              <w:left w:val="nil"/>
              <w:bottom w:val="nil"/>
              <w:right w:val="nil"/>
            </w:tcBorders>
          </w:tcPr>
          <w:p>
            <w:pPr>
              <w:pStyle w:val="Normal"/>
              <w:widowControl/>
              <w:spacing w:before="0" w:after="0"/>
              <w:jc w:val="center"/>
              <w:rPr>
                <w:rFonts w:ascii="Times New Roman" w:hAnsi="Times New Roman" w:cs="Times New Roman"/>
                <w:color w:val="000000"/>
                <w:sz w:val="24"/>
                <w:szCs w:val="24"/>
              </w:rPr>
            </w:pPr>
            <w:r>
              <w:rPr>
                <w:rFonts w:eastAsia="Calibri" w:cs="Times New Roman"/>
                <w:color w:val="000000"/>
                <w:kern w:val="0"/>
                <w:sz w:val="24"/>
                <w:szCs w:val="22"/>
                <w:lang w:val="ru-RU" w:eastAsia="en-US" w:bidi="ar-SA"/>
              </w:rPr>
            </w:r>
          </w:p>
        </w:tc>
      </w:tr>
    </w:tbl>
    <w:p>
      <w:pPr>
        <w:pStyle w:val="Normal"/>
        <w:ind w:left="14" w:right="-1" w:firstLine="4"/>
        <w:rPr>
          <w:color w:val="000000"/>
          <w:sz w:val="24"/>
          <w:szCs w:val="24"/>
        </w:rPr>
      </w:pPr>
      <w:r>
        <w:rPr>
          <w:color w:val="000000"/>
          <w:sz w:val="24"/>
          <w:szCs w:val="24"/>
        </w:rPr>
      </w:r>
    </w:p>
    <w:p>
      <w:pPr>
        <w:sectPr>
          <w:footnotePr>
            <w:numFmt w:val="chicago"/>
            <w:numRestart w:val="eachSect"/>
          </w:footnotePr>
          <w:type w:val="continuous"/>
          <w:pgSz w:w="11906" w:h="16838"/>
          <w:pgMar w:left="1418" w:right="851" w:gutter="0" w:header="567" w:top="1559" w:footer="567" w:bottom="709"/>
          <w:formProt w:val="false"/>
          <w:textDirection w:val="lrTb"/>
          <w:docGrid w:type="default" w:linePitch="312" w:charSpace="4294952959"/>
        </w:sectPr>
      </w:pPr>
    </w:p>
    <w:p>
      <w:pPr>
        <w:pStyle w:val="24"/>
        <w:rPr/>
      </w:pPr>
      <w:bookmarkStart w:id="152" w:name="_Toc100588950"/>
      <w:bookmarkStart w:id="153" w:name="_Toc145919169"/>
      <w:r>
        <w:rPr/>
        <w:t>Приложение № </w:t>
      </w:r>
      <w:r>
        <w:rPr/>
        <w:fldChar w:fldCharType="begin"/>
      </w:r>
      <w:r>
        <w:rPr/>
        <w:instrText xml:space="preserve"> SEQ Приложение_№ \* ARABIC </w:instrText>
      </w:r>
      <w:r>
        <w:rPr/>
        <w:fldChar w:fldCharType="separate"/>
      </w:r>
      <w:r>
        <w:rPr/>
        <w:t>15</w:t>
      </w:r>
      <w:r>
        <w:rPr/>
        <w:fldChar w:fldCharType="end"/>
      </w:r>
    </w:p>
    <w:p>
      <w:pPr>
        <w:pStyle w:val="Style32"/>
        <w:rPr>
          <w:color w:val="000000"/>
        </w:rPr>
      </w:pPr>
      <w:bookmarkStart w:id="154" w:name="_Toc100588950"/>
      <w:bookmarkStart w:id="155" w:name="_Toc145919169"/>
      <w:bookmarkStart w:id="156" w:name="_Toc150263839"/>
      <w:r>
        <w:rPr>
          <w:color w:val="000000"/>
          <w:szCs w:val="32"/>
        </w:rPr>
        <w:t>Карта кадрового процесса работы с персональными данными (далее – ПДн) в АНО ДПО «Техническая академия Росатома»</w:t>
      </w:r>
      <w:bookmarkEnd w:id="154"/>
      <w:bookmarkEnd w:id="155"/>
      <w:bookmarkEnd w:id="156"/>
    </w:p>
    <w:p>
      <w:pPr>
        <w:sectPr>
          <w:headerReference w:type="default" r:id="rId36"/>
          <w:footerReference w:type="default" r:id="rId37"/>
          <w:footnotePr>
            <w:numFmt w:val="chicago"/>
            <w:numRestart w:val="eachSect"/>
          </w:footnotePr>
          <w:type w:val="nextPage"/>
          <w:pgSz w:w="11906" w:h="16838"/>
          <w:pgMar w:left="1418" w:right="851" w:gutter="0" w:header="567" w:top="1559" w:footer="567" w:bottom="709"/>
          <w:pgNumType w:fmt="decimal"/>
          <w:formProt w:val="false"/>
          <w:textDirection w:val="lrTb"/>
          <w:docGrid w:type="default" w:linePitch="381" w:charSpace="0"/>
        </w:sectPr>
        <w:pStyle w:val="Normal"/>
        <w:jc w:val="center"/>
        <w:rPr>
          <w:sz w:val="22"/>
          <w:szCs w:val="22"/>
        </w:rPr>
      </w:pPr>
      <w:r>
        <w:rPr/>
        <mc:AlternateContent>
          <mc:Choice Requires="wps">
            <w:drawing>
              <wp:anchor behindDoc="0" distT="0" distB="0" distL="0" distR="0" simplePos="0" locked="0" layoutInCell="0" allowOverlap="1" relativeHeight="7" wp14:anchorId="74753B48">
                <wp:simplePos x="0" y="0"/>
                <wp:positionH relativeFrom="column">
                  <wp:posOffset>0</wp:posOffset>
                </wp:positionH>
                <wp:positionV relativeFrom="paragraph">
                  <wp:posOffset>635</wp:posOffset>
                </wp:positionV>
                <wp:extent cx="635000" cy="635000"/>
                <wp:effectExtent l="0" t="0" r="0" b="0"/>
                <wp:wrapNone/>
                <wp:docPr id="9" name="_x0000_tole_rId49"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49" path="m0,0l-2147483645,0l-2147483645,-2147483646l0,-2147483646xe" stroked="f" o:allowincell="f" style="position:absolute;margin-left:0pt;margin-top:0.05pt;width:49.95pt;height:49.95pt;mso-wrap-style:none;v-text-anchor:middle" wp14:anchorId="74753B48">
                <v:fill o:detectmouseclick="t" on="false"/>
                <v:stroke color="#3465a4" joinstyle="round" endcap="flat"/>
                <w10:wrap type="none"/>
              </v:rect>
            </w:pict>
          </mc:Fallback>
        </mc:AlternateContent>
        <w:drawing>
          <wp:inline distT="0" distB="0" distL="0" distR="0">
            <wp:extent cx="5822950" cy="5002530"/>
            <wp:effectExtent l="0" t="0" r="0" b="0"/>
            <wp:docPr id="10" name="ole_rId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le_rId49" descr=""/>
                    <pic:cNvPicPr>
                      <a:picLocks noChangeAspect="1" noChangeArrowheads="1"/>
                    </pic:cNvPicPr>
                  </pic:nvPicPr>
                  <pic:blipFill>
                    <a:blip r:embed="rId35"/>
                    <a:srcRect l="0" t="6896" r="0" b="0"/>
                    <a:stretch>
                      <a:fillRect/>
                    </a:stretch>
                  </pic:blipFill>
                  <pic:spPr bwMode="auto">
                    <a:xfrm>
                      <a:off x="0" y="0"/>
                      <a:ext cx="5822950" cy="5002530"/>
                    </a:xfrm>
                    <a:prstGeom prst="rect">
                      <a:avLst/>
                    </a:prstGeom>
                  </pic:spPr>
                </pic:pic>
              </a:graphicData>
            </a:graphic>
          </wp:inline>
        </w:drawing>
      </w:r>
    </w:p>
    <w:p>
      <w:pPr>
        <w:pStyle w:val="24"/>
        <w:rPr/>
      </w:pPr>
      <w:bookmarkStart w:id="157" w:name="_Toc145919170"/>
      <w:r>
        <w:rPr/>
        <w:t>Приложение № </w:t>
      </w:r>
      <w:r>
        <w:rPr/>
        <w:fldChar w:fldCharType="begin"/>
      </w:r>
      <w:r>
        <w:rPr/>
        <w:instrText xml:space="preserve"> SEQ Приложение_№ \* ARABIC </w:instrText>
      </w:r>
      <w:r>
        <w:rPr/>
        <w:fldChar w:fldCharType="separate"/>
      </w:r>
      <w:r>
        <w:rPr/>
        <w:t>16</w:t>
      </w:r>
      <w:r>
        <w:rPr/>
        <w:fldChar w:fldCharType="end"/>
      </w:r>
    </w:p>
    <w:p>
      <w:pPr>
        <w:pStyle w:val="Style32"/>
        <w:rPr/>
      </w:pPr>
      <w:bookmarkStart w:id="158" w:name="_Toc145919170"/>
      <w:bookmarkStart w:id="159" w:name="_Toc150263840"/>
      <w:r>
        <w:rPr/>
        <w:t>Карта процесса обучения граждан Российской Федерации</w:t>
        <w:br/>
        <w:t>в АНО ДПО «Техническая академия Росатома»</w:t>
        <w:br/>
        <w:t>(дистанционно и очное посещение)</w:t>
      </w:r>
      <w:bookmarkEnd w:id="158"/>
      <w:bookmarkEnd w:id="159"/>
    </w:p>
    <w:p>
      <w:pPr>
        <w:pStyle w:val="Style36"/>
        <w:ind w:left="709" w:hanging="709"/>
        <w:jc w:val="left"/>
        <w:rPr/>
      </w:pPr>
      <w:r>
        <w:rPr/>
        <mc:AlternateContent>
          <mc:Choice Requires="wps">
            <w:drawing>
              <wp:anchor behindDoc="0" distT="0" distB="0" distL="0" distR="0" simplePos="0" locked="0" layoutInCell="0" allowOverlap="1" relativeHeight="13" wp14:anchorId="3F304E6D">
                <wp:simplePos x="0" y="0"/>
                <wp:positionH relativeFrom="column">
                  <wp:posOffset>0</wp:posOffset>
                </wp:positionH>
                <wp:positionV relativeFrom="paragraph">
                  <wp:posOffset>635</wp:posOffset>
                </wp:positionV>
                <wp:extent cx="635000" cy="635000"/>
                <wp:effectExtent l="0" t="0" r="0" b="0"/>
                <wp:wrapNone/>
                <wp:docPr id="11" name="_x0000_tole_rId53" hidden="1"/>
                <a:graphic xmlns:a="http://schemas.openxmlformats.org/drawingml/2006/main">
                  <a:graphicData uri="http://schemas.microsoft.com/office/word/2010/wordprocessingShape">
                    <wps:wsp>
                      <wps:cNvSpPr/>
                      <wps:spPr>
                        <a:xfrm>
                          <a:off x="0" y="0"/>
                          <a:ext cx="635040" cy="635040"/>
                        </a:xfrm>
                        <a:custGeom>
                          <a:avLst/>
                          <a:gdLst/>
                          <a:ahLst/>
                          <a:rect l="0" t="0" r="r" b="b"/>
                          <a:pathLst/>
                        </a:custGeom>
                        <a:noFill/>
                        <a:ln w="0">
                          <a:noFill/>
                        </a:ln>
                      </wps:spPr>
                      <wps:style>
                        <a:lnRef idx="0"/>
                        <a:fillRef idx="0"/>
                        <a:effectRef idx="0"/>
                        <a:fontRef idx="minor"/>
                      </wps:style>
                      <wps:bodyPr/>
                    </wps:wsp>
                  </a:graphicData>
                </a:graphic>
              </wp:anchor>
            </w:drawing>
          </mc:Choice>
          <mc:Fallback>
            <w:pict/>
          </mc:Fallback>
        </mc:AlternateContent>
        <w:drawing>
          <wp:inline distT="0" distB="0" distL="0" distR="0">
            <wp:extent cx="6113780" cy="6379845"/>
            <wp:effectExtent l="0" t="0" r="0" b="0"/>
            <wp:docPr id="12" name="ole_rId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le_rId53" descr=""/>
                    <pic:cNvPicPr>
                      <a:picLocks noChangeAspect="1" noChangeArrowheads="1"/>
                    </pic:cNvPicPr>
                  </pic:nvPicPr>
                  <pic:blipFill>
                    <a:blip r:embed="rId38"/>
                    <a:stretch>
                      <a:fillRect/>
                    </a:stretch>
                  </pic:blipFill>
                  <pic:spPr bwMode="auto">
                    <a:xfrm>
                      <a:off x="0" y="0"/>
                      <a:ext cx="6113780" cy="6379845"/>
                    </a:xfrm>
                    <a:prstGeom prst="rect">
                      <a:avLst/>
                    </a:prstGeom>
                  </pic:spPr>
                </pic:pic>
              </a:graphicData>
            </a:graphic>
          </wp:inline>
        </w:drawing>
      </w:r>
    </w:p>
    <w:p>
      <w:pPr>
        <w:pStyle w:val="Normal"/>
        <w:suppressAutoHyphens w:val="true"/>
        <w:rPr>
          <w:color w:val="000000"/>
          <w:sz w:val="22"/>
          <w:szCs w:val="22"/>
        </w:rPr>
      </w:pPr>
      <w:r>
        <w:rPr>
          <w:color w:val="000000"/>
          <w:sz w:val="22"/>
          <w:szCs w:val="22"/>
        </w:rPr>
      </w:r>
      <w:r>
        <w:br w:type="page"/>
      </w:r>
    </w:p>
    <w:p>
      <w:pPr>
        <w:pStyle w:val="24"/>
        <w:rPr/>
      </w:pPr>
      <w:bookmarkStart w:id="160" w:name="_Toc100588951"/>
      <w:bookmarkStart w:id="161" w:name="_Toc145919171"/>
      <w:r>
        <w:rPr/>
        <w:t>Приложение № </w:t>
      </w:r>
      <w:r>
        <w:rPr/>
        <w:fldChar w:fldCharType="begin"/>
      </w:r>
      <w:r>
        <w:rPr/>
        <w:instrText xml:space="preserve"> SEQ Приложение_№ \* ARABIC </w:instrText>
      </w:r>
      <w:r>
        <w:rPr/>
        <w:fldChar w:fldCharType="separate"/>
      </w:r>
      <w:r>
        <w:rPr/>
        <w:t>17</w:t>
      </w:r>
      <w:r>
        <w:rPr/>
        <w:fldChar w:fldCharType="end"/>
      </w:r>
    </w:p>
    <w:p>
      <w:pPr>
        <w:pStyle w:val="Style32"/>
        <w:rPr>
          <w:color w:val="000000"/>
        </w:rPr>
      </w:pPr>
      <w:bookmarkStart w:id="162" w:name="_Toc100588951"/>
      <w:bookmarkStart w:id="163" w:name="_Toc145919171"/>
      <w:bookmarkStart w:id="164" w:name="_Toc150263841"/>
      <w:r>
        <w:rPr>
          <w:color w:val="000000"/>
        </w:rPr>
        <w:t>Карта процесса обучения иностранных граждан (международное)</w:t>
      </w:r>
      <w:bookmarkEnd w:id="162"/>
      <w:bookmarkEnd w:id="163"/>
      <w:bookmarkEnd w:id="164"/>
    </w:p>
    <w:p>
      <w:pPr>
        <w:pStyle w:val="Normal"/>
        <w:rPr>
          <w:color w:val="000000"/>
          <w:sz w:val="22"/>
          <w:szCs w:val="22"/>
        </w:rPr>
      </w:pPr>
      <w:r>
        <w:rPr/>
        <mc:AlternateContent>
          <mc:Choice Requires="wps">
            <w:drawing>
              <wp:anchor behindDoc="0" distT="0" distB="0" distL="0" distR="0" simplePos="0" locked="0" layoutInCell="0" allowOverlap="1" relativeHeight="14" wp14:anchorId="26491C78">
                <wp:simplePos x="0" y="0"/>
                <wp:positionH relativeFrom="column">
                  <wp:posOffset>0</wp:posOffset>
                </wp:positionH>
                <wp:positionV relativeFrom="paragraph">
                  <wp:posOffset>635</wp:posOffset>
                </wp:positionV>
                <wp:extent cx="635000" cy="635000"/>
                <wp:effectExtent l="0" t="0" r="0" b="0"/>
                <wp:wrapNone/>
                <wp:docPr id="13" name="_x0000_tole_rId55"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55" path="m0,0l-2147483645,0l-2147483645,-2147483646l0,-2147483646xe" stroked="f" o:allowincell="f" style="position:absolute;margin-left:0pt;margin-top:0.05pt;width:49.95pt;height:49.95pt;mso-wrap-style:none;v-text-anchor:middle" wp14:anchorId="26491C78">
                <v:fill o:detectmouseclick="t" on="false"/>
                <v:stroke color="#3465a4" joinstyle="round" endcap="flat"/>
                <w10:wrap type="none"/>
              </v:rect>
            </w:pict>
          </mc:Fallback>
        </mc:AlternateContent>
        <w:drawing>
          <wp:inline distT="0" distB="0" distL="0" distR="0">
            <wp:extent cx="5805170" cy="5624830"/>
            <wp:effectExtent l="0" t="0" r="0" b="0"/>
            <wp:docPr id="14" name="ole_rId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le_rId55" descr=""/>
                    <pic:cNvPicPr>
                      <a:picLocks noChangeAspect="1" noChangeArrowheads="1"/>
                    </pic:cNvPicPr>
                  </pic:nvPicPr>
                  <pic:blipFill>
                    <a:blip r:embed="rId39"/>
                    <a:stretch>
                      <a:fillRect/>
                    </a:stretch>
                  </pic:blipFill>
                  <pic:spPr bwMode="auto">
                    <a:xfrm>
                      <a:off x="0" y="0"/>
                      <a:ext cx="5805170" cy="5624830"/>
                    </a:xfrm>
                    <a:prstGeom prst="rect">
                      <a:avLst/>
                    </a:prstGeom>
                  </pic:spPr>
                </pic:pic>
              </a:graphicData>
            </a:graphic>
          </wp:inline>
        </w:drawing>
      </w:r>
    </w:p>
    <w:p>
      <w:pPr>
        <w:pStyle w:val="Normal"/>
        <w:tabs>
          <w:tab w:val="clear" w:pos="720"/>
          <w:tab w:val="left" w:pos="5425" w:leader="none"/>
        </w:tabs>
        <w:rPr>
          <w:color w:val="000000"/>
          <w:sz w:val="22"/>
          <w:szCs w:val="22"/>
        </w:rPr>
      </w:pPr>
      <w:r>
        <w:rPr>
          <w:color w:val="000000"/>
          <w:sz w:val="22"/>
          <w:szCs w:val="22"/>
        </w:rPr>
        <w:tab/>
      </w:r>
      <w:r>
        <w:br w:type="page"/>
      </w:r>
    </w:p>
    <w:p>
      <w:pPr>
        <w:pStyle w:val="24"/>
        <w:rPr/>
      </w:pPr>
      <w:bookmarkStart w:id="165" w:name="_Toc145919172"/>
      <w:bookmarkStart w:id="166" w:name="_Toc100588952"/>
      <w:r>
        <w:rPr/>
        <w:t>Приложение № </w:t>
      </w:r>
      <w:r>
        <w:rPr/>
        <w:fldChar w:fldCharType="begin"/>
      </w:r>
      <w:r>
        <w:rPr/>
        <w:instrText xml:space="preserve"> SEQ Приложение_№ \* ARABIC </w:instrText>
      </w:r>
      <w:r>
        <w:rPr/>
        <w:fldChar w:fldCharType="separate"/>
      </w:r>
      <w:r>
        <w:rPr/>
        <w:t>18</w:t>
      </w:r>
      <w:r>
        <w:rPr/>
        <w:fldChar w:fldCharType="end"/>
      </w:r>
    </w:p>
    <w:p>
      <w:pPr>
        <w:pStyle w:val="Style32"/>
        <w:rPr>
          <w:color w:val="000000"/>
        </w:rPr>
      </w:pPr>
      <w:bookmarkStart w:id="167" w:name="_Toc150263842"/>
      <w:r>
        <w:rPr>
          <w:color w:val="000000"/>
        </w:rPr>
        <w:t xml:space="preserve">Карта процесса – </w:t>
      </w:r>
      <w:r>
        <w:rPr/>
        <w:t>оформление пропуска сторонним физическим лицам, посещающим АНО ДПО «Техническая академия Росатома» (далее – Академия</w:t>
      </w:r>
      <w:r>
        <w:rPr>
          <w:color w:val="000000"/>
        </w:rPr>
        <w:t>)</w:t>
      </w:r>
      <w:bookmarkEnd w:id="165"/>
      <w:bookmarkEnd w:id="166"/>
      <w:bookmarkEnd w:id="167"/>
    </w:p>
    <w:p>
      <w:pPr>
        <w:pStyle w:val="Normal"/>
        <w:rPr/>
      </w:pPr>
      <w:r>
        <w:rPr/>
        <mc:AlternateContent>
          <mc:Choice Requires="wps">
            <w:drawing>
              <wp:anchor behindDoc="0" distT="0" distB="0" distL="0" distR="0" simplePos="0" locked="0" layoutInCell="0" allowOverlap="1" relativeHeight="15" wp14:anchorId="0FE09985">
                <wp:simplePos x="0" y="0"/>
                <wp:positionH relativeFrom="column">
                  <wp:posOffset>0</wp:posOffset>
                </wp:positionH>
                <wp:positionV relativeFrom="paragraph">
                  <wp:posOffset>635</wp:posOffset>
                </wp:positionV>
                <wp:extent cx="635000" cy="635000"/>
                <wp:effectExtent l="0" t="0" r="0" b="0"/>
                <wp:wrapNone/>
                <wp:docPr id="15" name="_x0000_tole_rId57"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57" path="m0,0l-2147483645,0l-2147483645,-2147483646l0,-2147483646xe" stroked="f" o:allowincell="f" style="position:absolute;margin-left:0pt;margin-top:0.05pt;width:49.95pt;height:49.95pt;mso-wrap-style:none;v-text-anchor:middle" wp14:anchorId="0FE09985">
                <v:fill o:detectmouseclick="t" on="false"/>
                <v:stroke color="#3465a4" joinstyle="round" endcap="flat"/>
                <w10:wrap type="none"/>
              </v:rect>
            </w:pict>
          </mc:Fallback>
        </mc:AlternateContent>
      </w:r>
    </w:p>
    <w:p>
      <w:pPr>
        <w:sectPr>
          <w:headerReference w:type="default" r:id="rId41"/>
          <w:footerReference w:type="default" r:id="rId42"/>
          <w:footnotePr>
            <w:numFmt w:val="chicago"/>
            <w:numRestart w:val="eachSect"/>
          </w:footnotePr>
          <w:type w:val="nextPage"/>
          <w:pgSz w:w="11906" w:h="16838"/>
          <w:pgMar w:left="1418" w:right="851" w:gutter="0" w:header="567" w:top="1559" w:footer="567" w:bottom="709"/>
          <w:pgNumType w:fmt="decimal"/>
          <w:formProt w:val="false"/>
          <w:textDirection w:val="lrTb"/>
          <w:docGrid w:type="default" w:linePitch="381" w:charSpace="0"/>
        </w:sectPr>
        <w:pStyle w:val="Normal"/>
        <w:rPr>
          <w:color w:val="000000"/>
        </w:rPr>
      </w:pPr>
      <w:r>
        <w:rPr/>
        <w:drawing>
          <wp:inline distT="0" distB="0" distL="0" distR="0">
            <wp:extent cx="5969635" cy="5751830"/>
            <wp:effectExtent l="0" t="0" r="0" b="0"/>
            <wp:docPr id="16" name="ole_rId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le_rId57" descr=""/>
                    <pic:cNvPicPr>
                      <a:picLocks noChangeAspect="1" noChangeArrowheads="1"/>
                    </pic:cNvPicPr>
                  </pic:nvPicPr>
                  <pic:blipFill>
                    <a:blip r:embed="rId40"/>
                    <a:srcRect l="0" t="0" r="16698" b="0"/>
                    <a:stretch>
                      <a:fillRect/>
                    </a:stretch>
                  </pic:blipFill>
                  <pic:spPr bwMode="auto">
                    <a:xfrm>
                      <a:off x="0" y="0"/>
                      <a:ext cx="5969635" cy="5751830"/>
                    </a:xfrm>
                    <a:prstGeom prst="rect">
                      <a:avLst/>
                    </a:prstGeom>
                  </pic:spPr>
                </pic:pic>
              </a:graphicData>
            </a:graphic>
          </wp:inline>
        </w:drawing>
      </w:r>
    </w:p>
    <w:p>
      <w:pPr>
        <w:pStyle w:val="24"/>
        <w:rPr/>
      </w:pPr>
      <w:bookmarkStart w:id="168" w:name="_Toc145919173"/>
      <w:r>
        <w:rPr/>
        <w:t>Приложение № </w:t>
      </w:r>
      <w:r>
        <w:rPr/>
        <w:fldChar w:fldCharType="begin"/>
      </w:r>
      <w:r>
        <w:rPr/>
        <w:instrText xml:space="preserve"> SEQ Приложение_№ \* ARABIC </w:instrText>
      </w:r>
      <w:r>
        <w:rPr/>
        <w:fldChar w:fldCharType="separate"/>
      </w:r>
      <w:r>
        <w:rPr/>
        <w:t>19</w:t>
      </w:r>
      <w:r>
        <w:rPr/>
        <w:fldChar w:fldCharType="end"/>
      </w:r>
    </w:p>
    <w:p>
      <w:pPr>
        <w:pStyle w:val="Style32"/>
        <w:rPr/>
      </w:pPr>
      <w:bookmarkStart w:id="169" w:name="_Toc145919173"/>
      <w:bookmarkStart w:id="170" w:name="_Toc150263843"/>
      <w:r>
        <w:rPr/>
        <w:t>Карта процесса – Гостиничные услуги</w:t>
      </w:r>
      <w:bookmarkEnd w:id="169"/>
      <w:bookmarkEnd w:id="170"/>
    </w:p>
    <w:p>
      <w:pPr>
        <w:pStyle w:val="Normal"/>
        <w:jc w:val="center"/>
        <w:rPr/>
      </w:pPr>
      <w:r>
        <w:rPr/>
        <mc:AlternateContent>
          <mc:Choice Requires="wps">
            <w:drawing>
              <wp:anchor behindDoc="0" distT="0" distB="0" distL="0" distR="0" simplePos="0" locked="0" layoutInCell="0" allowOverlap="1" relativeHeight="16" wp14:anchorId="1A48CDEF">
                <wp:simplePos x="0" y="0"/>
                <wp:positionH relativeFrom="column">
                  <wp:posOffset>0</wp:posOffset>
                </wp:positionH>
                <wp:positionV relativeFrom="paragraph">
                  <wp:posOffset>635</wp:posOffset>
                </wp:positionV>
                <wp:extent cx="635000" cy="635000"/>
                <wp:effectExtent l="0" t="0" r="0" b="0"/>
                <wp:wrapNone/>
                <wp:docPr id="17" name="_x0000_tole_rId63"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63" path="m0,0l-2147483645,0l-2147483645,-2147483646l0,-2147483646xe" stroked="f" o:allowincell="f" style="position:absolute;margin-left:0pt;margin-top:0.05pt;width:49.95pt;height:49.95pt;mso-wrap-style:none;v-text-anchor:middle" wp14:anchorId="1A48CDEF">
                <v:fill o:detectmouseclick="t" on="false"/>
                <v:stroke color="#3465a4" joinstyle="round" endcap="flat"/>
                <w10:wrap type="none"/>
              </v:rect>
            </w:pict>
          </mc:Fallback>
        </mc:AlternateContent>
      </w:r>
    </w:p>
    <w:p>
      <w:pPr>
        <w:pStyle w:val="Normal"/>
        <w:jc w:val="center"/>
        <w:rPr>
          <w:color w:val="000000"/>
          <w:sz w:val="16"/>
          <w:szCs w:val="16"/>
        </w:rPr>
      </w:pPr>
      <w:r>
        <w:rPr/>
        <w:drawing>
          <wp:inline distT="0" distB="0" distL="0" distR="0">
            <wp:extent cx="5114290" cy="5814695"/>
            <wp:effectExtent l="0" t="0" r="0" b="0"/>
            <wp:docPr id="18" name="ole_rId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le_rId63" descr=""/>
                    <pic:cNvPicPr>
                      <a:picLocks noChangeAspect="1" noChangeArrowheads="1"/>
                    </pic:cNvPicPr>
                  </pic:nvPicPr>
                  <pic:blipFill>
                    <a:blip r:embed="rId43"/>
                    <a:srcRect l="11934" t="0" r="9652" b="16017"/>
                    <a:stretch>
                      <a:fillRect/>
                    </a:stretch>
                  </pic:blipFill>
                  <pic:spPr bwMode="auto">
                    <a:xfrm>
                      <a:off x="0" y="0"/>
                      <a:ext cx="5114290" cy="5814695"/>
                    </a:xfrm>
                    <a:prstGeom prst="rect">
                      <a:avLst/>
                    </a:prstGeom>
                  </pic:spPr>
                </pic:pic>
              </a:graphicData>
            </a:graphic>
          </wp:inline>
        </w:drawing>
      </w:r>
    </w:p>
    <w:sectPr>
      <w:headerReference w:type="default" r:id="rId44"/>
      <w:footerReference w:type="default" r:id="rId45"/>
      <w:footnotePr>
        <w:numFmt w:val="chicago"/>
        <w:numRestart w:val="eachSect"/>
      </w:footnotePr>
      <w:type w:val="nextPage"/>
      <w:pgSz w:w="11906" w:h="16838"/>
      <w:pgMar w:left="1418" w:right="851" w:gutter="0" w:header="567" w:top="1559" w:footer="567" w:bottom="709"/>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Calibri">
    <w:charset w:val="01"/>
    <w:family w:val="roman"/>
    <w:pitch w:val="variable"/>
  </w:font>
  <w:font w:name="Tahom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right="360" w:firstLine="360"/>
      <w:rPr/>
    </w:pPr>
    <w:r>
      <w:rPr/>
      <mc:AlternateContent>
        <mc:Choice Requires="wps">
          <w:drawing>
            <wp:anchor behindDoc="0" distT="0" distB="0" distL="0" distR="0" simplePos="0" locked="0" layoutInCell="0" allowOverlap="1" relativeHeight="5" wp14:anchorId="7B1DD74E">
              <wp:simplePos x="0" y="0"/>
              <wp:positionH relativeFrom="margin">
                <wp:align>inside</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Style39"/>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inside;mso-position-horizontal-relative:margin" wp14:anchorId="7B1DD74E">
              <v:fill o:detectmouseclick="t" on="false"/>
              <v:stroke color="#3465a4" joinstyle="round" endcap="flat"/>
              <v:textbox>
                <w:txbxContent>
                  <w:p>
                    <w:pPr>
                      <w:pStyle w:val="Style39"/>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35796980"/>
    </w:sdtPr>
    <w:sdtContent>
      <w:p>
        <w:pPr>
          <w:pStyle w:val="Style40"/>
          <w:jc w:val="center"/>
          <w:rPr/>
        </w:pPr>
        <w:r>
          <w:rPr/>
          <w:fldChar w:fldCharType="begin"/>
        </w:r>
        <w:r>
          <w:rPr/>
          <w:instrText xml:space="preserve"> PAGE </w:instrText>
        </w:r>
        <w:r>
          <w:rPr/>
          <w:fldChar w:fldCharType="separate"/>
        </w:r>
        <w:r>
          <w:rPr/>
          <w:t>61</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69728704"/>
    </w:sdtPr>
    <w:sdtContent>
      <w:p>
        <w:pPr>
          <w:pStyle w:val="Style40"/>
          <w:jc w:val="center"/>
          <w:rPr/>
        </w:pPr>
        <w:r>
          <w:rPr/>
          <w:fldChar w:fldCharType="begin"/>
        </w:r>
        <w:r>
          <w:rPr/>
          <w:instrText xml:space="preserve"> PAGE </w:instrText>
        </w:r>
        <w:r>
          <w:rPr/>
          <w:fldChar w:fldCharType="separate"/>
        </w:r>
        <w:r>
          <w:rPr/>
          <w:t>64</w:t>
        </w:r>
        <w:r>
          <w:rPr/>
          <w:fldChar w:fldCharType="end"/>
        </w:r>
      </w:p>
    </w:sdtContent>
  </w:sdt>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95536812"/>
    </w:sdtPr>
    <w:sdtContent>
      <w:p>
        <w:pPr>
          <w:pStyle w:val="Style40"/>
          <w:jc w:val="center"/>
          <w:rPr/>
        </w:pPr>
        <w:r>
          <w:rPr/>
          <w:fldChar w:fldCharType="begin"/>
        </w:r>
        <w:r>
          <w:rPr/>
          <w:instrText xml:space="preserve"> PAGE </w:instrText>
        </w:r>
        <w:r>
          <w:rPr/>
          <w:fldChar w:fldCharType="separate"/>
        </w:r>
        <w:r>
          <w:rPr/>
          <w:t>65</w:t>
        </w:r>
        <w:r>
          <w:rPr/>
          <w:fldChar w:fldCharType="end"/>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lang w:val="en-US"/>
      </w:rPr>
    </w:pPr>
    <w:r>
      <w:rPr/>
      <w:t>Обнинск</w:t>
    </w:r>
    <w:r>
      <w:rPr>
        <w:szCs w:val="24"/>
      </w:rPr>
      <w:br/>
      <w:t>202</w:t>
    </w:r>
    <w:r>
      <w:rPr>
        <w:szCs w:val="24"/>
        <w:lang w:val="en-US"/>
      </w:rPr>
      <w:t>3</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lang w:val="en-US"/>
      </w:rPr>
    </w:pPr>
    <w:r>
      <w:rPr/>
      <w:t>Обнинск</w:t>
    </w:r>
    <w:r>
      <w:rPr>
        <w:szCs w:val="24"/>
      </w:rPr>
      <w:br/>
      <w:t>202</w:t>
    </w:r>
    <w:r>
      <w:rPr>
        <w:szCs w:val="24"/>
        <w:lang w:val="en-US"/>
      </w:rPr>
      <w:t>3</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23584490"/>
    </w:sdtPr>
    <w:sdtContent>
      <w:p>
        <w:pPr>
          <w:pStyle w:val="Style40"/>
          <w:jc w:val="center"/>
          <w:rPr/>
        </w:pPr>
        <w:r>
          <w:rPr/>
          <w:fldChar w:fldCharType="begin"/>
        </w:r>
        <w:r>
          <w:rPr/>
          <w:instrText xml:space="preserve"> PAGE </w:instrText>
        </w:r>
        <w:r>
          <w:rPr/>
          <w:fldChar w:fldCharType="separate"/>
        </w:r>
        <w:r>
          <w:rPr/>
          <w:t>31</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right="360" w:hanging="0"/>
      <w:jc w:val="cen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86822118"/>
    </w:sdtPr>
    <w:sdtContent>
      <w:p>
        <w:pPr>
          <w:pStyle w:val="Style40"/>
          <w:jc w:val="center"/>
          <w:rPr/>
        </w:pPr>
        <w:r>
          <w:rPr/>
          <w:fldChar w:fldCharType="begin"/>
        </w:r>
        <w:r>
          <w:rPr/>
          <w:instrText xml:space="preserve"> PAGE </w:instrText>
        </w:r>
        <w:r>
          <w:rPr/>
          <w:fldChar w:fldCharType="separate"/>
        </w:r>
        <w:r>
          <w:rPr/>
          <w:t>36</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4718056"/>
    </w:sdtPr>
    <w:sdtContent>
      <w:p>
        <w:pPr>
          <w:pStyle w:val="Style40"/>
          <w:jc w:val="center"/>
          <w:rPr/>
        </w:pPr>
        <w:r>
          <w:rPr/>
          <w:fldChar w:fldCharType="begin"/>
        </w:r>
        <w:r>
          <w:rPr/>
          <w:instrText xml:space="preserve"> PAGE </w:instrText>
        </w:r>
        <w:r>
          <w:rPr/>
          <w:fldChar w:fldCharType="separate"/>
        </w:r>
        <w:r>
          <w:rPr/>
          <w:t>39</w:t>
        </w:r>
        <w:r>
          <w:rPr/>
          <w:fldChar w:fldCharType="end"/>
        </w:r>
      </w:p>
    </w:sdtContent>
  </w:sdt>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50340684"/>
    </w:sdtPr>
    <w:sdtContent>
      <w:p>
        <w:pPr>
          <w:pStyle w:val="Style40"/>
          <w:jc w:val="center"/>
          <w:rPr/>
        </w:pPr>
        <w:r>
          <w:rPr/>
          <w:fldChar w:fldCharType="begin"/>
        </w:r>
        <w:r>
          <w:rPr/>
          <w:instrText xml:space="preserve"> PAGE </w:instrText>
        </w:r>
        <w:r>
          <w:rPr/>
          <w:fldChar w:fldCharType="separate"/>
        </w:r>
        <w:r>
          <w:rPr/>
          <w:t>43</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09229020"/>
    </w:sdtPr>
    <w:sdtContent>
      <w:p>
        <w:pPr>
          <w:pStyle w:val="Style40"/>
          <w:jc w:val="center"/>
          <w:rPr/>
        </w:pPr>
        <w:r>
          <w:rPr/>
          <w:fldChar w:fldCharType="begin"/>
        </w:r>
        <w:r>
          <w:rPr/>
          <w:instrText xml:space="preserve"> PAGE </w:instrText>
        </w:r>
        <w:r>
          <w:rPr/>
          <w:fldChar w:fldCharType="separate"/>
        </w:r>
        <w:r>
          <w:rPr/>
          <w:t>60</w:t>
        </w:r>
        <w:r>
          <w:rPr/>
          <w:fldChar w:fldCharType="end"/>
        </w:r>
      </w:p>
    </w:sdtContent>
  </w:sdt>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rPr/>
      </w:pPr>
      <w:r>
        <w:rPr>
          <w:rStyle w:val="Style14"/>
        </w:rPr>
        <w:footnoteRef/>
      </w:r>
      <w:r>
        <w:rPr/>
        <w:t xml:space="preserve"> </w:t>
      </w:r>
      <w:r>
        <w:rPr>
          <w:color w:val="000000"/>
          <w:sz w:val="24"/>
        </w:rPr>
        <w:t>Указать нужное из представленного перечня</w:t>
      </w:r>
    </w:p>
  </w:footnote>
  <w:footnote w:id="3">
    <w:p>
      <w:pPr>
        <w:pStyle w:val="Style30"/>
        <w:rPr/>
      </w:pPr>
      <w:r>
        <w:rPr>
          <w:rStyle w:val="Style14"/>
        </w:rPr>
        <w:footnoteRef/>
      </w:r>
      <w:r>
        <w:rPr/>
        <w:t xml:space="preserve"> </w:t>
      </w:r>
      <w:r>
        <w:rPr>
          <w:color w:val="000000"/>
          <w:sz w:val="24"/>
        </w:rPr>
        <w:t>Указать нужное из представленного перечня</w:t>
      </w:r>
    </w:p>
  </w:footnote>
  <w:footnote w:id="4">
    <w:p>
      <w:pPr>
        <w:pStyle w:val="Style30"/>
        <w:jc w:val="both"/>
        <w:rPr>
          <w:color w:val="000000"/>
          <w:sz w:val="24"/>
        </w:rPr>
      </w:pPr>
      <w:r>
        <w:rPr>
          <w:rStyle w:val="Style14"/>
        </w:rPr>
        <w:footnoteRef/>
      </w:r>
      <w:r>
        <w:rPr>
          <w:color w:val="000000"/>
          <w:sz w:val="24"/>
        </w:rPr>
        <w:t>*Указываются конкретные положения нормативных правовых актов, предусматривающих перечень персональных Данных, подлежащих предоставлению в целях трудоустройства, обучения и продвижения по работе, обеспечения личной безопасности, контроля количества и качества выполняемой работы, обеспечения сохранности имущества связи, пропуска субъектов персональных Данных на территорию АНО ДПО «Техническая академия Росатома» и ее филиалов, а так же в иных целях, предусмотренных законодательством Российской Федерации, Уставом и иными локальными нормативными актами АНО ДПО «Техническая академия Росатома».</w:t>
      </w:r>
    </w:p>
    <w:p>
      <w:pPr>
        <w:pStyle w:val="Style30"/>
        <w:jc w:val="both"/>
        <w:rPr>
          <w:color w:val="000000"/>
          <w:sz w:val="24"/>
        </w:rPr>
      </w:pPr>
      <w:r>
        <w:rPr>
          <w:color w:val="000000"/>
          <w:sz w:val="24"/>
        </w:rPr>
        <w:t xml:space="preserve">**Указать нужное: </w:t>
      </w:r>
    </w:p>
    <w:p>
      <w:pPr>
        <w:pStyle w:val="Style30"/>
        <w:jc w:val="both"/>
        <w:rPr/>
      </w:pPr>
      <w:r>
        <w:rPr>
          <w:color w:val="000000"/>
          <w:sz w:val="24"/>
        </w:rPr>
        <w:t>Отказ в приеме Документов кандидатов на замещение вакантных Должностей в АНО ДПО «Техническая академия Росатома»; отказ от заключения трудового Договора с кандидатом на замещение вакантной Должности в АНО ДПО «Техническая академия Росатома» отказ от заключения гражданско-правового Договора; отказ в пропуске на территорию АНО ДПО «Техническая академия Росатома» и ее филиалов; отказ от рассмотрения обращений по существу и др.</w:t>
      </w:r>
    </w:p>
  </w:footnote>
  <w:footnote w:id="5">
    <w:p>
      <w:pPr>
        <w:pStyle w:val="Style30"/>
        <w:rPr/>
      </w:pPr>
      <w:r>
        <w:rPr>
          <w:rStyle w:val="Style14"/>
        </w:rPr>
        <w:footnoteRef/>
      </w:r>
      <w:r>
        <w:rPr/>
        <w:t xml:space="preserve"> </w:t>
      </w:r>
      <w:r>
        <w:rPr>
          <w:color w:val="000000"/>
          <w:sz w:val="22"/>
          <w:szCs w:val="22"/>
        </w:rPr>
        <w:t>Указать нужное</w:t>
      </w:r>
    </w:p>
  </w:footnote>
  <w:footnote w:id="6">
    <w:p>
      <w:pPr>
        <w:pStyle w:val="Style30"/>
        <w:rPr/>
      </w:pPr>
      <w:r>
        <w:rPr>
          <w:rStyle w:val="Style14"/>
        </w:rPr>
        <w:footnoteRef/>
      </w:r>
      <w:r>
        <w:rPr/>
        <w:t xml:space="preserve"> </w:t>
      </w:r>
      <w:r>
        <w:rPr>
          <w:color w:val="000000"/>
          <w:sz w:val="24"/>
        </w:rPr>
        <w:t>Указывается в случае поручения АНО ДПО «Техническая академия Росатома» обработки персональных данных третьему лицу</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Arial" w:hAnsi="Arial"/>
      </w:rPr>
    </w:pPr>
    <w:r>
      <w:rPr>
        <w:rFonts w:ascii="Arial" w:hAnsi="Arial"/>
      </w:rPr>
      <mc:AlternateContent>
        <mc:Choice Requires="wps">
          <w:drawing>
            <wp:anchor behindDoc="0" distT="0" distB="0" distL="0" distR="0" simplePos="0" locked="0" layoutInCell="0" allowOverlap="1" relativeHeight="6" wp14:anchorId="4075F68A">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Style39"/>
                            <w:rPr>
                              <w:rFonts w:ascii="Arial" w:hAnsi="Arial"/>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wp14:anchorId="4075F68A">
              <v:fill o:detectmouseclick="t" on="false"/>
              <v:stroke color="#3465a4" joinstyle="round" endcap="flat"/>
              <v:textbox>
                <w:txbxContent>
                  <w:p>
                    <w:pPr>
                      <w:pStyle w:val="Style39"/>
                      <w:rPr>
                        <w:rFonts w:ascii="Arial" w:hAnsi="Arial"/>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center"/>
      <w:tblInd w:w="0" w:type="dxa"/>
      <w:tblLayout w:type="fixed"/>
      <w:tblCellMar>
        <w:top w:w="0" w:type="dxa"/>
        <w:left w:w="108" w:type="dxa"/>
        <w:bottom w:w="0" w:type="dxa"/>
        <w:right w:w="108" w:type="dxa"/>
      </w:tblCellMar>
      <w:tblLook w:val="0000" w:noVBand="0" w:noHBand="0" w:lastColumn="0" w:firstColumn="0" w:lastRow="0" w:firstRow="0"/>
    </w:tblPr>
    <w:tblGrid>
      <w:gridCol w:w="2680"/>
      <w:gridCol w:w="4268"/>
      <w:gridCol w:w="2689"/>
    </w:tblGrid>
    <w:tr>
      <w:trPr>
        <w:trHeight w:val="360" w:hRule="atLeast"/>
        <w:cantSplit w:val="true"/>
      </w:trPr>
      <w:tc>
        <w:tcPr>
          <w:tcW w:w="2680"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АНО ДПО</w:t>
          </w:r>
        </w:p>
        <w:p>
          <w:pPr>
            <w:pStyle w:val="Style28"/>
            <w:widowControl w:val="false"/>
            <w:jc w:val="center"/>
            <w:rPr>
              <w:sz w:val="24"/>
              <w:szCs w:val="24"/>
            </w:rPr>
          </w:pPr>
          <w:r>
            <w:rPr>
              <w:sz w:val="24"/>
              <w:szCs w:val="24"/>
            </w:rPr>
            <w:t>«Техническая академия Росатома»</w:t>
          </w:r>
        </w:p>
      </w:tc>
      <w:tc>
        <w:tcPr>
          <w:tcW w:w="4268"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Положение об обеспечении защиты персональных данных при осуществлении их обработки</w:t>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Редакция 2</w:t>
          </w:r>
        </w:p>
      </w:tc>
    </w:tr>
    <w:tr>
      <w:trPr>
        <w:trHeight w:val="200" w:hRule="atLeast"/>
        <w:cantSplit w:val="true"/>
      </w:trPr>
      <w:tc>
        <w:tcPr>
          <w:tcW w:w="2680"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4268"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ПЛ 015-2023</w:t>
          </w:r>
        </w:p>
      </w:tc>
    </w:tr>
  </w:tbl>
  <w:p>
    <w:pPr>
      <w:pStyle w:val="Style28"/>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center"/>
      <w:tblInd w:w="0" w:type="dxa"/>
      <w:tblLayout w:type="fixed"/>
      <w:tblCellMar>
        <w:top w:w="0" w:type="dxa"/>
        <w:left w:w="108" w:type="dxa"/>
        <w:bottom w:w="0" w:type="dxa"/>
        <w:right w:w="108" w:type="dxa"/>
      </w:tblCellMar>
      <w:tblLook w:val="0000" w:noVBand="0" w:noHBand="0" w:lastColumn="0" w:firstColumn="0" w:lastRow="0" w:firstRow="0"/>
    </w:tblPr>
    <w:tblGrid>
      <w:gridCol w:w="2680"/>
      <w:gridCol w:w="4268"/>
      <w:gridCol w:w="2689"/>
    </w:tblGrid>
    <w:tr>
      <w:trPr>
        <w:trHeight w:val="360" w:hRule="atLeast"/>
        <w:cantSplit w:val="true"/>
      </w:trPr>
      <w:tc>
        <w:tcPr>
          <w:tcW w:w="2680"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АНО ДПО</w:t>
          </w:r>
        </w:p>
        <w:p>
          <w:pPr>
            <w:pStyle w:val="Style28"/>
            <w:widowControl w:val="false"/>
            <w:jc w:val="center"/>
            <w:rPr>
              <w:sz w:val="24"/>
              <w:szCs w:val="24"/>
            </w:rPr>
          </w:pPr>
          <w:r>
            <w:rPr>
              <w:sz w:val="24"/>
              <w:szCs w:val="24"/>
            </w:rPr>
            <w:t>«Техническая академия Росатома»</w:t>
          </w:r>
        </w:p>
      </w:tc>
      <w:tc>
        <w:tcPr>
          <w:tcW w:w="4268"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Положение об обеспечении защиты персональных данных при осуществлении их обработки</w:t>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Редакция 2</w:t>
          </w:r>
        </w:p>
      </w:tc>
    </w:tr>
    <w:tr>
      <w:trPr>
        <w:trHeight w:val="200" w:hRule="atLeast"/>
        <w:cantSplit w:val="true"/>
      </w:trPr>
      <w:tc>
        <w:tcPr>
          <w:tcW w:w="2680"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4268"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ПЛ 015-2023</w:t>
          </w:r>
        </w:p>
      </w:tc>
    </w:tr>
  </w:tbl>
  <w:p>
    <w:pPr>
      <w:pStyle w:val="Style28"/>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center"/>
      <w:tblInd w:w="0" w:type="dxa"/>
      <w:tblLayout w:type="fixed"/>
      <w:tblCellMar>
        <w:top w:w="0" w:type="dxa"/>
        <w:left w:w="108" w:type="dxa"/>
        <w:bottom w:w="0" w:type="dxa"/>
        <w:right w:w="108" w:type="dxa"/>
      </w:tblCellMar>
      <w:tblLook w:val="0000" w:noVBand="0" w:noHBand="0" w:lastColumn="0" w:firstColumn="0" w:lastRow="0" w:firstRow="0"/>
    </w:tblPr>
    <w:tblGrid>
      <w:gridCol w:w="2680"/>
      <w:gridCol w:w="4268"/>
      <w:gridCol w:w="2689"/>
    </w:tblGrid>
    <w:tr>
      <w:trPr>
        <w:trHeight w:val="360" w:hRule="atLeast"/>
        <w:cantSplit w:val="true"/>
      </w:trPr>
      <w:tc>
        <w:tcPr>
          <w:tcW w:w="2680"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АНО ДПО</w:t>
          </w:r>
        </w:p>
        <w:p>
          <w:pPr>
            <w:pStyle w:val="Style28"/>
            <w:widowControl w:val="false"/>
            <w:jc w:val="center"/>
            <w:rPr>
              <w:sz w:val="24"/>
              <w:szCs w:val="24"/>
            </w:rPr>
          </w:pPr>
          <w:r>
            <w:rPr>
              <w:sz w:val="24"/>
              <w:szCs w:val="24"/>
            </w:rPr>
            <w:t>«Техническая академия Росатома»</w:t>
          </w:r>
        </w:p>
      </w:tc>
      <w:tc>
        <w:tcPr>
          <w:tcW w:w="4268"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Положение об обеспечении защиты персональных данных при осуществлении их обработки</w:t>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Редакция 2</w:t>
          </w:r>
        </w:p>
      </w:tc>
    </w:tr>
    <w:tr>
      <w:trPr>
        <w:trHeight w:val="200" w:hRule="atLeast"/>
        <w:cantSplit w:val="true"/>
      </w:trPr>
      <w:tc>
        <w:tcPr>
          <w:tcW w:w="2680"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4268"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ПЛ 015-2023</w:t>
          </w:r>
        </w:p>
      </w:tc>
    </w:tr>
  </w:tbl>
  <w:p>
    <w:pPr>
      <w:pStyle w:val="Style28"/>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center"/>
      <w:tblInd w:w="0" w:type="dxa"/>
      <w:tblLayout w:type="fixed"/>
      <w:tblCellMar>
        <w:top w:w="0" w:type="dxa"/>
        <w:left w:w="108" w:type="dxa"/>
        <w:bottom w:w="0" w:type="dxa"/>
        <w:right w:w="108" w:type="dxa"/>
      </w:tblCellMar>
      <w:tblLook w:val="01e0" w:noVBand="0" w:noHBand="0" w:firstRow="1" w:lastRow="1" w:firstColumn="1" w:lastColumn="1"/>
    </w:tblPr>
    <w:tblGrid>
      <w:gridCol w:w="9637"/>
    </w:tblGrid>
    <w:tr>
      <w:trPr>
        <w:trHeight w:val="780" w:hRule="atLeast"/>
      </w:trPr>
      <w:tc>
        <w:tcPr>
          <w:tcW w:w="9637" w:type="dxa"/>
          <w:tcBorders/>
        </w:tcPr>
        <w:p>
          <w:pPr>
            <w:pStyle w:val="Normal"/>
            <w:widowControl w:val="false"/>
            <w:jc w:val="center"/>
            <w:rPr>
              <w:b/>
              <w:b/>
            </w:rPr>
          </w:pPr>
          <w:r>
            <mc:AlternateContent>
              <mc:Choice Requires="wps">
                <w:drawing>
                  <wp:anchor behindDoc="1" distT="5080" distB="5080" distL="5080" distR="5715" simplePos="0" locked="0" layoutInCell="0" allowOverlap="1" relativeHeight="2" wp14:anchorId="2C3383D0">
                    <wp:simplePos x="0" y="0"/>
                    <wp:positionH relativeFrom="column">
                      <wp:posOffset>-943610</wp:posOffset>
                    </wp:positionH>
                    <wp:positionV relativeFrom="paragraph">
                      <wp:posOffset>-3086735</wp:posOffset>
                    </wp:positionV>
                    <wp:extent cx="228600" cy="228600"/>
                    <wp:effectExtent l="5080" t="5080" r="5715" b="5080"/>
                    <wp:wrapNone/>
                    <wp:docPr id="3" name="Надпись 2"/>
                    <a:graphic xmlns:a="http://schemas.openxmlformats.org/drawingml/2006/main">
                      <a:graphicData uri="http://schemas.microsoft.com/office/word/2010/wordprocessingShape">
                        <wps:wsp>
                          <wps:cNvSpPr/>
                          <wps:spPr>
                            <a:xfrm>
                              <a:off x="0" y="0"/>
                              <a:ext cx="228600" cy="228600"/>
                            </a:xfrm>
                            <a:prstGeom prst="ellipse">
                              <a:avLst/>
                            </a:prstGeom>
                            <a:noFill/>
                            <a:ln w="9525">
                              <a:solidFill>
                                <a:srgbClr val="a6a6a6"/>
                              </a:solidFill>
                              <a:miter/>
                            </a:ln>
                          </wps:spPr>
                          <wps:style>
                            <a:lnRef idx="0"/>
                            <a:fillRef idx="0"/>
                            <a:effectRef idx="0"/>
                            <a:fontRef idx="minor"/>
                          </wps:style>
                          <wps:txbx>
                            <w:txbxContent>
                              <w:p>
                                <w:pPr>
                                  <w:pStyle w:val="Style39"/>
                                  <w:widowControl w:val="false"/>
                                  <w:jc w:val="center"/>
                                  <w:rPr>
                                    <w:color w:val="A6A6A6"/>
                                    <w:sz w:val="24"/>
                                    <w14:textOutline w14:w="9525" w14:cap="rnd" w14:cmpd="sng" w14:algn="ctr">
                                      <w14:noFill/>
                                      <w14:prstDash w14:val="solid"/>
                                      <w14:bevel/>
                                    </w14:textOutline>
                                  </w:rPr>
                                </w:pPr>
                                <w:sdt>
                                  <w:sdtPr>
                                    <w:id w:val="2065481800"/>
                                  </w:sdtPr>
                                  <w:sdtContent>
                                    <w:r>
                                      <w:rPr>
                                        <w:color w:val="000000"/>
                                      </w:rPr>
                                      <w:t>2</w:t>
                                    </w:r>
                                  </w:sdtContent>
                                </w:sdt>
                              </w:p>
                            </w:txbxContent>
                          </wps:txbx>
                          <wps:bodyPr lIns="0" rIns="0" tIns="0" bIns="0" anchor="t">
                            <a:noAutofit/>
                          </wps:bodyPr>
                        </wps:wsp>
                      </a:graphicData>
                    </a:graphic>
                  </wp:anchor>
                </w:drawing>
              </mc:Choice>
              <mc:Fallback>
                <w:pict>
                  <v:oval id="shape_0" ID="Надпись 2" path="l-2147483648,-2147483643l-2147483628,-2147483627l-2147483648,-2147483643l-2147483626,-2147483625xe" stroked="t" o:allowincell="f" style="position:absolute;margin-left:-74.3pt;margin-top:-243.05pt;width:17.95pt;height:17.95pt;mso-wrap-style:square;v-text-anchor:top" wp14:anchorId="2C3383D0">
                    <v:fill o:detectmouseclick="t" on="false"/>
                    <v:stroke color="#a6a6a6" weight="9360" joinstyle="miter" endcap="flat"/>
                    <v:textbox>
                      <w:txbxContent>
                        <w:p>
                          <w:pPr>
                            <w:pStyle w:val="Style39"/>
                            <w:widowControl w:val="false"/>
                            <w:jc w:val="center"/>
                            <w:rPr>
                              <w:color w:val="A6A6A6"/>
                              <w:sz w:val="24"/>
                              <w14:textOutline w14:w="9525" w14:cap="rnd" w14:cmpd="sng" w14:algn="ctr">
                                <w14:noFill/>
                                <w14:prstDash w14:val="solid"/>
                                <w14:bevel/>
                              </w14:textOutline>
                            </w:rPr>
                          </w:pPr>
                          <w:sdt>
                            <w:sdtPr>
                              <w:id w:val="975857571"/>
                            </w:sdtPr>
                            <w:sdtContent>
                              <w:r>
                                <w:rPr>
                                  <w:color w:val="000000"/>
                                </w:rPr>
                                <w:t>2</w:t>
                              </w:r>
                            </w:sdtContent>
                          </w:sdt>
                        </w:p>
                      </w:txbxContent>
                    </v:textbox>
                    <w10:wrap type="none"/>
                  </v:oval>
                </w:pict>
              </mc:Fallback>
            </mc:AlternateContent>
          </w:r>
          <w:r>
            <w:rPr>
              <w:b/>
            </w:rPr>
            <w:t>Автономная некоммерческая организация дополнительного профессионального образования «Техническая академия Росатома»</w:t>
          </w:r>
        </w:p>
        <w:p>
          <w:pPr>
            <w:pStyle w:val="Normal"/>
            <w:widowControl w:val="false"/>
            <w:jc w:val="center"/>
            <w:rPr>
              <w:b/>
              <w:b/>
            </w:rPr>
          </w:pPr>
          <w:r>
            <w:rPr/>
            <w:t>(АНО ДПО «Техническая академия Росатома»)</w:t>
          </w:r>
        </w:p>
      </w:tc>
    </w:tr>
  </w:tbl>
  <w:p>
    <w:pPr>
      <w:pStyle w:val="Style28"/>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center"/>
      <w:tblInd w:w="0" w:type="dxa"/>
      <w:tblLayout w:type="fixed"/>
      <w:tblCellMar>
        <w:top w:w="0" w:type="dxa"/>
        <w:left w:w="108" w:type="dxa"/>
        <w:bottom w:w="0" w:type="dxa"/>
        <w:right w:w="108" w:type="dxa"/>
      </w:tblCellMar>
      <w:tblLook w:val="01e0" w:noVBand="0" w:noHBand="0" w:firstRow="1" w:lastRow="1" w:firstColumn="1" w:lastColumn="1"/>
    </w:tblPr>
    <w:tblGrid>
      <w:gridCol w:w="9637"/>
    </w:tblGrid>
    <w:tr>
      <w:trPr>
        <w:trHeight w:val="780" w:hRule="atLeast"/>
      </w:trPr>
      <w:tc>
        <w:tcPr>
          <w:tcW w:w="9637" w:type="dxa"/>
          <w:tcBorders/>
        </w:tcPr>
        <w:p>
          <w:pPr>
            <w:pStyle w:val="Normal"/>
            <w:widowControl w:val="false"/>
            <w:jc w:val="center"/>
            <w:rPr>
              <w:b/>
              <w:b/>
            </w:rPr>
          </w:pPr>
          <w:r>
            <mc:AlternateContent>
              <mc:Choice Requires="wps">
                <w:drawing>
                  <wp:anchor behindDoc="1" distT="5080" distB="5080" distL="5080" distR="5715" simplePos="0" locked="0" layoutInCell="0" allowOverlap="1" relativeHeight="2" wp14:anchorId="2C3383D0">
                    <wp:simplePos x="0" y="0"/>
                    <wp:positionH relativeFrom="column">
                      <wp:posOffset>-943610</wp:posOffset>
                    </wp:positionH>
                    <wp:positionV relativeFrom="paragraph">
                      <wp:posOffset>-3086735</wp:posOffset>
                    </wp:positionV>
                    <wp:extent cx="228600" cy="228600"/>
                    <wp:effectExtent l="5080" t="5080" r="5715" b="5080"/>
                    <wp:wrapNone/>
                    <wp:docPr id="5" name="Надпись 2"/>
                    <a:graphic xmlns:a="http://schemas.openxmlformats.org/drawingml/2006/main">
                      <a:graphicData uri="http://schemas.microsoft.com/office/word/2010/wordprocessingShape">
                        <wps:wsp>
                          <wps:cNvSpPr/>
                          <wps:spPr>
                            <a:xfrm>
                              <a:off x="0" y="0"/>
                              <a:ext cx="228600" cy="228600"/>
                            </a:xfrm>
                            <a:prstGeom prst="ellipse">
                              <a:avLst/>
                            </a:prstGeom>
                            <a:noFill/>
                            <a:ln w="9525">
                              <a:solidFill>
                                <a:srgbClr val="a6a6a6"/>
                              </a:solidFill>
                              <a:miter/>
                            </a:ln>
                          </wps:spPr>
                          <wps:style>
                            <a:lnRef idx="0"/>
                            <a:fillRef idx="0"/>
                            <a:effectRef idx="0"/>
                            <a:fontRef idx="minor"/>
                          </wps:style>
                          <wps:txbx>
                            <w:txbxContent>
                              <w:p>
                                <w:pPr>
                                  <w:pStyle w:val="Style39"/>
                                  <w:widowControl w:val="false"/>
                                  <w:jc w:val="center"/>
                                  <w:rPr>
                                    <w:color w:val="A6A6A6"/>
                                    <w:sz w:val="24"/>
                                    <w14:textOutline w14:w="9525" w14:cap="rnd" w14:cmpd="sng" w14:algn="ctr">
                                      <w14:noFill/>
                                      <w14:prstDash w14:val="solid"/>
                                      <w14:bevel/>
                                    </w14:textOutline>
                                  </w:rPr>
                                </w:pPr>
                                <w:sdt>
                                  <w:sdtPr>
                                    <w:id w:val="1340916630"/>
                                  </w:sdtPr>
                                  <w:sdtContent>
                                    <w:r>
                                      <w:rPr>
                                        <w:color w:val="000000"/>
                                      </w:rPr>
                                      <w:t>2</w:t>
                                    </w:r>
                                  </w:sdtContent>
                                </w:sdt>
                              </w:p>
                            </w:txbxContent>
                          </wps:txbx>
                          <wps:bodyPr lIns="0" rIns="0" tIns="0" bIns="0" anchor="t">
                            <a:noAutofit/>
                          </wps:bodyPr>
                        </wps:wsp>
                      </a:graphicData>
                    </a:graphic>
                  </wp:anchor>
                </w:drawing>
              </mc:Choice>
              <mc:Fallback>
                <w:pict>
                  <v:oval id="shape_0" ID="Надпись 2" path="l-2147483648,-2147483643l-2147483628,-2147483627l-2147483648,-2147483643l-2147483626,-2147483625xe" stroked="t" o:allowincell="f" style="position:absolute;margin-left:-74.3pt;margin-top:-243.05pt;width:17.95pt;height:17.95pt;mso-wrap-style:square;v-text-anchor:top" wp14:anchorId="2C3383D0">
                    <v:fill o:detectmouseclick="t" on="false"/>
                    <v:stroke color="#a6a6a6" weight="9360" joinstyle="miter" endcap="flat"/>
                    <v:textbox>
                      <w:txbxContent>
                        <w:p>
                          <w:pPr>
                            <w:pStyle w:val="Style39"/>
                            <w:widowControl w:val="false"/>
                            <w:jc w:val="center"/>
                            <w:rPr>
                              <w:color w:val="A6A6A6"/>
                              <w:sz w:val="24"/>
                              <w14:textOutline w14:w="9525" w14:cap="rnd" w14:cmpd="sng" w14:algn="ctr">
                                <w14:noFill/>
                                <w14:prstDash w14:val="solid"/>
                                <w14:bevel/>
                              </w14:textOutline>
                            </w:rPr>
                          </w:pPr>
                          <w:sdt>
                            <w:sdtPr>
                              <w:id w:val="2022397941"/>
                            </w:sdtPr>
                            <w:sdtContent>
                              <w:r>
                                <w:rPr>
                                  <w:color w:val="000000"/>
                                </w:rPr>
                                <w:t>2</w:t>
                              </w:r>
                            </w:sdtContent>
                          </w:sdt>
                        </w:p>
                      </w:txbxContent>
                    </v:textbox>
                    <w10:wrap type="none"/>
                  </v:oval>
                </w:pict>
              </mc:Fallback>
            </mc:AlternateContent>
          </w:r>
          <w:r>
            <w:rPr>
              <w:b/>
            </w:rPr>
            <w:t>Автономная некоммерческая организация дополнительного профессионального образования «Техническая академия Росатома»</w:t>
          </w:r>
        </w:p>
        <w:p>
          <w:pPr>
            <w:pStyle w:val="Normal"/>
            <w:widowControl w:val="false"/>
            <w:jc w:val="center"/>
            <w:rPr>
              <w:b/>
              <w:b/>
            </w:rPr>
          </w:pPr>
          <w:r>
            <w:rPr/>
            <w:t>(АНО ДПО «Техническая академия Росатома»)</w:t>
          </w:r>
        </w:p>
      </w:tc>
    </w:tr>
  </w:tbl>
  <w:p>
    <w:pPr>
      <w:pStyle w:val="Style28"/>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center"/>
      <w:tblInd w:w="0" w:type="dxa"/>
      <w:tblLayout w:type="fixed"/>
      <w:tblCellMar>
        <w:top w:w="0" w:type="dxa"/>
        <w:left w:w="108" w:type="dxa"/>
        <w:bottom w:w="0" w:type="dxa"/>
        <w:right w:w="108" w:type="dxa"/>
      </w:tblCellMar>
      <w:tblLook w:val="0000" w:noVBand="0" w:noHBand="0" w:lastColumn="0" w:firstColumn="0" w:lastRow="0" w:firstRow="0"/>
    </w:tblPr>
    <w:tblGrid>
      <w:gridCol w:w="2680"/>
      <w:gridCol w:w="4268"/>
      <w:gridCol w:w="2689"/>
    </w:tblGrid>
    <w:tr>
      <w:trPr>
        <w:trHeight w:val="360" w:hRule="atLeast"/>
        <w:cantSplit w:val="true"/>
      </w:trPr>
      <w:tc>
        <w:tcPr>
          <w:tcW w:w="2680"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АНО ДПО</w:t>
          </w:r>
        </w:p>
        <w:p>
          <w:pPr>
            <w:pStyle w:val="Style28"/>
            <w:widowControl w:val="false"/>
            <w:jc w:val="center"/>
            <w:rPr>
              <w:sz w:val="24"/>
              <w:szCs w:val="24"/>
            </w:rPr>
          </w:pPr>
          <w:r>
            <w:rPr>
              <w:sz w:val="24"/>
              <w:szCs w:val="24"/>
            </w:rPr>
            <w:t>«Техническая академия Росатома»</w:t>
          </w:r>
        </w:p>
      </w:tc>
      <w:tc>
        <w:tcPr>
          <w:tcW w:w="4268"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Положение об обеспечении защиты персональных данных при осуществлении их обработки</w:t>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lang w:val="en-US"/>
            </w:rPr>
          </w:pPr>
          <w:r>
            <w:rPr>
              <w:sz w:val="24"/>
              <w:szCs w:val="24"/>
            </w:rPr>
            <w:t xml:space="preserve">Редакция </w:t>
          </w:r>
          <w:r>
            <w:rPr>
              <w:sz w:val="24"/>
              <w:szCs w:val="24"/>
              <w:lang w:val="en-US"/>
            </w:rPr>
            <w:t>2</w:t>
          </w:r>
        </w:p>
      </w:tc>
    </w:tr>
    <w:tr>
      <w:trPr>
        <w:trHeight w:val="200" w:hRule="atLeast"/>
        <w:cantSplit w:val="true"/>
      </w:trPr>
      <w:tc>
        <w:tcPr>
          <w:tcW w:w="2680"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4268"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lang w:val="en-US"/>
            </w:rPr>
          </w:pPr>
          <w:r>
            <w:rPr>
              <w:sz w:val="24"/>
              <w:szCs w:val="24"/>
            </w:rPr>
            <w:t>ПЛ 015-202</w:t>
          </w:r>
          <w:r>
            <w:rPr>
              <w:sz w:val="24"/>
              <w:szCs w:val="24"/>
              <w:lang w:val="en-US"/>
            </w:rPr>
            <w:t>3</w:t>
          </w:r>
        </w:p>
      </w:tc>
    </w:tr>
  </w:tbl>
  <w:p>
    <w:pPr>
      <w:pStyle w:val="Style28"/>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center"/>
      <w:tblInd w:w="0" w:type="dxa"/>
      <w:tblLayout w:type="fixed"/>
      <w:tblCellMar>
        <w:top w:w="0" w:type="dxa"/>
        <w:left w:w="108" w:type="dxa"/>
        <w:bottom w:w="0" w:type="dxa"/>
        <w:right w:w="108" w:type="dxa"/>
      </w:tblCellMar>
      <w:tblLook w:val="0000" w:noVBand="0" w:noHBand="0" w:lastColumn="0" w:firstColumn="0" w:lastRow="0" w:firstRow="0"/>
    </w:tblPr>
    <w:tblGrid>
      <w:gridCol w:w="2680"/>
      <w:gridCol w:w="4268"/>
      <w:gridCol w:w="2689"/>
    </w:tblGrid>
    <w:tr>
      <w:trPr>
        <w:trHeight w:val="360" w:hRule="atLeast"/>
        <w:cantSplit w:val="true"/>
      </w:trPr>
      <w:tc>
        <w:tcPr>
          <w:tcW w:w="2680"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АНО ДПО</w:t>
          </w:r>
        </w:p>
        <w:p>
          <w:pPr>
            <w:pStyle w:val="Style28"/>
            <w:widowControl w:val="false"/>
            <w:jc w:val="center"/>
            <w:rPr>
              <w:sz w:val="24"/>
              <w:szCs w:val="24"/>
            </w:rPr>
          </w:pPr>
          <w:r>
            <w:rPr>
              <w:sz w:val="24"/>
              <w:szCs w:val="24"/>
            </w:rPr>
            <w:t>«Техническая академия Росатома»</w:t>
          </w:r>
        </w:p>
      </w:tc>
      <w:tc>
        <w:tcPr>
          <w:tcW w:w="4268"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Положение об обеспечении защиты персональных данных при осуществлении их обработки</w:t>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Редакция 2</w:t>
          </w:r>
        </w:p>
      </w:tc>
    </w:tr>
    <w:tr>
      <w:trPr>
        <w:trHeight w:val="200" w:hRule="atLeast"/>
        <w:cantSplit w:val="true"/>
      </w:trPr>
      <w:tc>
        <w:tcPr>
          <w:tcW w:w="2680"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4268"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ПЛ 015-2023</w:t>
          </w:r>
        </w:p>
      </w:tc>
    </w:tr>
  </w:tbl>
  <w:p>
    <w:pPr>
      <w:pStyle w:val="Style28"/>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center"/>
      <w:tblInd w:w="0" w:type="dxa"/>
      <w:tblLayout w:type="fixed"/>
      <w:tblCellMar>
        <w:top w:w="0" w:type="dxa"/>
        <w:left w:w="108" w:type="dxa"/>
        <w:bottom w:w="0" w:type="dxa"/>
        <w:right w:w="108" w:type="dxa"/>
      </w:tblCellMar>
      <w:tblLook w:val="0000" w:noVBand="0" w:noHBand="0" w:lastColumn="0" w:firstColumn="0" w:lastRow="0" w:firstRow="0"/>
    </w:tblPr>
    <w:tblGrid>
      <w:gridCol w:w="2680"/>
      <w:gridCol w:w="4268"/>
      <w:gridCol w:w="2689"/>
    </w:tblGrid>
    <w:tr>
      <w:trPr>
        <w:trHeight w:val="360" w:hRule="atLeast"/>
        <w:cantSplit w:val="true"/>
      </w:trPr>
      <w:tc>
        <w:tcPr>
          <w:tcW w:w="2680"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АНО ДПО</w:t>
          </w:r>
        </w:p>
        <w:p>
          <w:pPr>
            <w:pStyle w:val="Style28"/>
            <w:widowControl w:val="false"/>
            <w:jc w:val="center"/>
            <w:rPr>
              <w:sz w:val="24"/>
              <w:szCs w:val="24"/>
            </w:rPr>
          </w:pPr>
          <w:r>
            <w:rPr>
              <w:sz w:val="24"/>
              <w:szCs w:val="24"/>
            </w:rPr>
            <w:t>«Техническая академия Росатома»</w:t>
          </w:r>
        </w:p>
      </w:tc>
      <w:tc>
        <w:tcPr>
          <w:tcW w:w="4268"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Положение об обеспечении защиты персональных данных при осуществлении их обработки</w:t>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Редакция 2</w:t>
          </w:r>
        </w:p>
      </w:tc>
    </w:tr>
    <w:tr>
      <w:trPr>
        <w:trHeight w:val="200" w:hRule="atLeast"/>
        <w:cantSplit w:val="true"/>
      </w:trPr>
      <w:tc>
        <w:tcPr>
          <w:tcW w:w="2680"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4268"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ПЛ 015-2023</w:t>
          </w:r>
        </w:p>
      </w:tc>
    </w:tr>
  </w:tbl>
  <w:p>
    <w:pPr>
      <w:pStyle w:val="Style28"/>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center"/>
      <w:tblInd w:w="0" w:type="dxa"/>
      <w:tblLayout w:type="fixed"/>
      <w:tblCellMar>
        <w:top w:w="0" w:type="dxa"/>
        <w:left w:w="108" w:type="dxa"/>
        <w:bottom w:w="0" w:type="dxa"/>
        <w:right w:w="108" w:type="dxa"/>
      </w:tblCellMar>
      <w:tblLook w:val="0000" w:noVBand="0" w:noHBand="0" w:lastColumn="0" w:firstColumn="0" w:lastRow="0" w:firstRow="0"/>
    </w:tblPr>
    <w:tblGrid>
      <w:gridCol w:w="2680"/>
      <w:gridCol w:w="4268"/>
      <w:gridCol w:w="2689"/>
    </w:tblGrid>
    <w:tr>
      <w:trPr>
        <w:trHeight w:val="360" w:hRule="atLeast"/>
        <w:cantSplit w:val="true"/>
      </w:trPr>
      <w:tc>
        <w:tcPr>
          <w:tcW w:w="2680"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АНО ДПО</w:t>
          </w:r>
        </w:p>
        <w:p>
          <w:pPr>
            <w:pStyle w:val="Style28"/>
            <w:widowControl w:val="false"/>
            <w:jc w:val="center"/>
            <w:rPr>
              <w:sz w:val="24"/>
              <w:szCs w:val="24"/>
            </w:rPr>
          </w:pPr>
          <w:r>
            <w:rPr>
              <w:sz w:val="24"/>
              <w:szCs w:val="24"/>
            </w:rPr>
            <w:t>«Техническая академия Росатома»</w:t>
          </w:r>
        </w:p>
      </w:tc>
      <w:tc>
        <w:tcPr>
          <w:tcW w:w="4268"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Положение об обеспечении защиты персональных данных при осуществлении их обработки</w:t>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Редакция 2</w:t>
          </w:r>
        </w:p>
      </w:tc>
    </w:tr>
    <w:tr>
      <w:trPr>
        <w:trHeight w:val="200" w:hRule="atLeast"/>
        <w:cantSplit w:val="true"/>
      </w:trPr>
      <w:tc>
        <w:tcPr>
          <w:tcW w:w="2680"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4268"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ПЛ 015-2023</w:t>
          </w:r>
        </w:p>
      </w:tc>
    </w:tr>
  </w:tbl>
  <w:p>
    <w:pPr>
      <w:pStyle w:val="Style28"/>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center"/>
      <w:tblInd w:w="0" w:type="dxa"/>
      <w:tblLayout w:type="fixed"/>
      <w:tblCellMar>
        <w:top w:w="0" w:type="dxa"/>
        <w:left w:w="108" w:type="dxa"/>
        <w:bottom w:w="0" w:type="dxa"/>
        <w:right w:w="108" w:type="dxa"/>
      </w:tblCellMar>
      <w:tblLook w:val="0000" w:noVBand="0" w:noHBand="0" w:lastColumn="0" w:firstColumn="0" w:lastRow="0" w:firstRow="0"/>
    </w:tblPr>
    <w:tblGrid>
      <w:gridCol w:w="2680"/>
      <w:gridCol w:w="4268"/>
      <w:gridCol w:w="2689"/>
    </w:tblGrid>
    <w:tr>
      <w:trPr>
        <w:trHeight w:val="360" w:hRule="atLeast"/>
        <w:cantSplit w:val="true"/>
      </w:trPr>
      <w:tc>
        <w:tcPr>
          <w:tcW w:w="2680"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АНО ДПО</w:t>
          </w:r>
        </w:p>
        <w:p>
          <w:pPr>
            <w:pStyle w:val="Style28"/>
            <w:widowControl w:val="false"/>
            <w:jc w:val="center"/>
            <w:rPr>
              <w:sz w:val="24"/>
              <w:szCs w:val="24"/>
            </w:rPr>
          </w:pPr>
          <w:r>
            <w:rPr>
              <w:sz w:val="24"/>
              <w:szCs w:val="24"/>
            </w:rPr>
            <w:t>«Техническая академия Росатома»</w:t>
          </w:r>
        </w:p>
      </w:tc>
      <w:tc>
        <w:tcPr>
          <w:tcW w:w="4268"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Положение об обеспечении защиты персональных данных при осуществлении их обработки</w:t>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Редакция 2</w:t>
          </w:r>
        </w:p>
      </w:tc>
    </w:tr>
    <w:tr>
      <w:trPr>
        <w:trHeight w:val="200" w:hRule="atLeast"/>
        <w:cantSplit w:val="true"/>
      </w:trPr>
      <w:tc>
        <w:tcPr>
          <w:tcW w:w="2680"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4268"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ПЛ 015-2023</w:t>
          </w:r>
        </w:p>
      </w:tc>
    </w:tr>
  </w:tbl>
  <w:p>
    <w:pPr>
      <w:pStyle w:val="Style28"/>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center"/>
      <w:tblInd w:w="0" w:type="dxa"/>
      <w:tblLayout w:type="fixed"/>
      <w:tblCellMar>
        <w:top w:w="0" w:type="dxa"/>
        <w:left w:w="108" w:type="dxa"/>
        <w:bottom w:w="0" w:type="dxa"/>
        <w:right w:w="108" w:type="dxa"/>
      </w:tblCellMar>
      <w:tblLook w:val="0000" w:noVBand="0" w:noHBand="0" w:lastColumn="0" w:firstColumn="0" w:lastRow="0" w:firstRow="0"/>
    </w:tblPr>
    <w:tblGrid>
      <w:gridCol w:w="2680"/>
      <w:gridCol w:w="4268"/>
      <w:gridCol w:w="2689"/>
    </w:tblGrid>
    <w:tr>
      <w:trPr>
        <w:trHeight w:val="360" w:hRule="atLeast"/>
        <w:cantSplit w:val="true"/>
      </w:trPr>
      <w:tc>
        <w:tcPr>
          <w:tcW w:w="2680"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НО ДПО</w:t>
          </w:r>
        </w:p>
        <w:p>
          <w:pPr>
            <w:pStyle w:val="Style28"/>
            <w:widowControl w:val="false"/>
            <w:jc w:val="center"/>
            <w:rPr>
              <w:sz w:val="24"/>
              <w:szCs w:val="24"/>
            </w:rPr>
          </w:pPr>
          <w:r>
            <w:rPr>
              <w:sz w:val="24"/>
              <w:szCs w:val="24"/>
            </w:rPr>
            <w:t>«Техническая академия Росатома»</w:t>
          </w:r>
        </w:p>
      </w:tc>
      <w:tc>
        <w:tcPr>
          <w:tcW w:w="4268" w:type="dxa"/>
          <w:vMerge w:val="restart"/>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Положение об обеспечении защиты персональных данных при осуществлении их обработки</w:t>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Редакция 2</w:t>
          </w:r>
        </w:p>
      </w:tc>
    </w:tr>
    <w:tr>
      <w:trPr>
        <w:trHeight w:val="200" w:hRule="atLeast"/>
        <w:cantSplit w:val="true"/>
      </w:trPr>
      <w:tc>
        <w:tcPr>
          <w:tcW w:w="2680"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4268" w:type="dxa"/>
          <w:vMerge w:val="continue"/>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r>
        </w:p>
      </w:tc>
      <w:tc>
        <w:tcPr>
          <w:tcW w:w="2689"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jc w:val="center"/>
            <w:rPr>
              <w:sz w:val="24"/>
              <w:szCs w:val="24"/>
            </w:rPr>
          </w:pPr>
          <w:r>
            <w:rPr>
              <w:sz w:val="24"/>
              <w:szCs w:val="24"/>
            </w:rPr>
            <w:t>ПЛ 015-2023</w:t>
          </w:r>
        </w:p>
      </w:tc>
    </w:tr>
  </w:tbl>
  <w:p>
    <w:pPr>
      <w:pStyle w:val="Style28"/>
      <w:rPr>
        <w:b/>
        <w:b/>
        <w:bCs/>
      </w:rPr>
    </w:pPr>
    <w:r>
      <w:rPr>
        <w:b/>
        <w:bC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decimal"/>
      <w:lvlText w:val="%1"/>
      <w:lvlJc w:val="left"/>
      <w:pPr>
        <w:tabs>
          <w:tab w:val="num" w:pos="425"/>
        </w:tabs>
        <w:ind w:left="425" w:hanging="425"/>
      </w:pPr>
      <w:rPr>
        <w:sz w:val="32"/>
        <w:i w:val="false"/>
        <w:b/>
        <w:szCs w:val="32"/>
        <w:rFonts w:ascii="Times New Roman" w:hAnsi="Times New Roman"/>
      </w:rPr>
    </w:lvl>
    <w:lvl w:ilvl="1">
      <w:start w:val="1"/>
      <w:pStyle w:val="2"/>
      <w:numFmt w:val="decimal"/>
      <w:lvlText w:val="%1.%2"/>
      <w:lvlJc w:val="left"/>
      <w:pPr>
        <w:tabs>
          <w:tab w:val="num" w:pos="709"/>
        </w:tabs>
        <w:ind w:left="709" w:hanging="709"/>
      </w:pPr>
      <w:rPr>
        <w:smallCaps w:val="false"/>
        <w:caps w:val="false"/>
        <w:dstrike w:val="false"/>
        <w:strike w:val="false"/>
        <w:vertAlign w:val="baseline"/>
        <w:position w:val="0"/>
        <w:sz w:val="28"/>
        <w:sz w:val="28"/>
        <w:i w:val="false"/>
        <w:b/>
        <w:szCs w:val="28"/>
        <w:vanish w:val="false"/>
        <w:rFonts w:ascii="Times New Roman" w:hAnsi="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pStyle w:val="3"/>
      <w:numFmt w:val="decimal"/>
      <w:lvlText w:val="%1.%2.%3"/>
      <w:lvlJc w:val="left"/>
      <w:pPr>
        <w:tabs>
          <w:tab w:val="num" w:pos="709"/>
        </w:tabs>
        <w:ind w:left="709" w:hanging="709"/>
      </w:pPr>
      <w:rPr>
        <w:sz w:val="28"/>
        <w:i w:val="false"/>
        <w:b w:val="false"/>
        <w:szCs w:val="28"/>
        <w:rFonts w:ascii="Times New Roman" w:hAnsi="Times New Roman"/>
      </w:rPr>
    </w:lvl>
    <w:lvl w:ilvl="3">
      <w:start w:val="1"/>
      <w:pStyle w:val="4"/>
      <w:numFmt w:val="decimal"/>
      <w:lvlText w:val="%1.%2.%3.%4"/>
      <w:lvlJc w:val="left"/>
      <w:pPr>
        <w:tabs>
          <w:tab w:val="num" w:pos="992"/>
        </w:tabs>
        <w:ind w:left="992" w:hanging="992"/>
      </w:pPr>
      <w:rPr>
        <w:sz w:val="28"/>
        <w:i w:val="false"/>
        <w:b w:val="false"/>
      </w:rPr>
    </w:lvl>
    <w:lvl w:ilvl="4">
      <w:start w:val="1"/>
      <w:pStyle w:val="5"/>
      <w:numFmt w:val="decimal"/>
      <w:lvlText w:val="%1.%2.%3.%4.%5"/>
      <w:lvlJc w:val="left"/>
      <w:pPr>
        <w:tabs>
          <w:tab w:val="num" w:pos="1008"/>
        </w:tabs>
        <w:ind w:left="1008" w:hanging="1008"/>
      </w:pPr>
      <w:rPr/>
    </w:lvl>
    <w:lvl w:ilvl="5">
      <w:start w:val="1"/>
      <w:pStyle w:val="6"/>
      <w:numFmt w:val="decimal"/>
      <w:lvlText w:val="%1.%2.%3.%4.%5.%6"/>
      <w:lvlJc w:val="left"/>
      <w:pPr>
        <w:tabs>
          <w:tab w:val="num" w:pos="1152"/>
        </w:tabs>
        <w:ind w:left="1152" w:hanging="1152"/>
      </w:pPr>
      <w:rPr/>
    </w:lvl>
    <w:lvl w:ilvl="6">
      <w:start w:val="1"/>
      <w:pStyle w:val="7"/>
      <w:numFmt w:val="decimal"/>
      <w:lvlText w:val="%1.%2.%3.%4.%5.%6.%7"/>
      <w:lvlJc w:val="left"/>
      <w:pPr>
        <w:tabs>
          <w:tab w:val="num" w:pos="1296"/>
        </w:tabs>
        <w:ind w:left="1296" w:hanging="1296"/>
      </w:pPr>
      <w:rPr/>
    </w:lvl>
    <w:lvl w:ilvl="7">
      <w:start w:val="1"/>
      <w:pStyle w:val="8"/>
      <w:numFmt w:val="decimal"/>
      <w:lvlText w:val="%1.%2.%3.%4.%5.%6.%7.%8"/>
      <w:lvlJc w:val="left"/>
      <w:pPr>
        <w:tabs>
          <w:tab w:val="num" w:pos="1440"/>
        </w:tabs>
        <w:ind w:left="1440" w:hanging="1440"/>
      </w:pPr>
      <w:rPr/>
    </w:lvl>
    <w:lvl w:ilvl="8">
      <w:start w:val="1"/>
      <w:pStyle w:val="9"/>
      <w:numFmt w:val="decimal"/>
      <w:lvlText w:val="%1.%2.%3.%4.%5.%6.%7.%8.%9"/>
      <w:lvlJc w:val="left"/>
      <w:pPr>
        <w:tabs>
          <w:tab w:val="num" w:pos="1584"/>
        </w:tabs>
        <w:ind w:left="1584" w:hanging="1584"/>
      </w:pPr>
      <w:rPr/>
    </w:lvl>
  </w:abstractNum>
  <w:abstractNum w:abstractNumId="2">
    <w:lvl w:ilvl="0">
      <w:start w:val="1"/>
      <w:numFmt w:val="decimal"/>
      <w:lvlText w:val="%1"/>
      <w:lvlJc w:val="left"/>
      <w:pPr>
        <w:tabs>
          <w:tab w:val="num" w:pos="0"/>
        </w:tabs>
        <w:ind w:left="180" w:hanging="0"/>
      </w:pPr>
      <w:rPr>
        <w:dstrike w:val="false"/>
        <w:strike w:val="false"/>
        <w:vertAlign w:val="baseline"/>
        <w:position w:val="0"/>
        <w:sz w:val="24"/>
        <w:sz w:val="24"/>
        <w:i/>
        <w:u w:val="none" w:color="000000"/>
        <w:b w:val="false"/>
        <w:shd w:fill="auto" w:val="clear"/>
        <w:szCs w:val="24"/>
        <w:iCs/>
        <w:rFonts w:ascii="Times New Roman" w:hAnsi="Times New Roman" w:eastAsia="Times New Roman" w:cs="Times New Roman"/>
        <w:color w:val="000000"/>
      </w:rPr>
    </w:lvl>
    <w:lvl w:ilvl="1">
      <w:start w:val="1"/>
      <w:numFmt w:val="lowerLetter"/>
      <w:lvlText w:val="%2"/>
      <w:lvlJc w:val="left"/>
      <w:pPr>
        <w:tabs>
          <w:tab w:val="num" w:pos="0"/>
        </w:tabs>
        <w:ind w:left="9751" w:hanging="0"/>
      </w:pPr>
      <w:rPr>
        <w:dstrike w:val="false"/>
        <w:strike w:val="false"/>
        <w:vertAlign w:val="baseline"/>
        <w:position w:val="0"/>
        <w:sz w:val="24"/>
        <w:sz w:val="24"/>
        <w:i/>
        <w:u w:val="none" w:color="000000"/>
        <w:b w:val="false"/>
        <w:shd w:fill="auto" w:val="clear"/>
        <w:szCs w:val="24"/>
        <w:iCs/>
        <w:rFonts w:ascii="Times New Roman" w:hAnsi="Times New Roman" w:eastAsia="Times New Roman" w:cs="Times New Roman"/>
        <w:color w:val="000000"/>
      </w:rPr>
    </w:lvl>
    <w:lvl w:ilvl="2">
      <w:start w:val="1"/>
      <w:numFmt w:val="lowerRoman"/>
      <w:lvlText w:val="%3"/>
      <w:lvlJc w:val="left"/>
      <w:pPr>
        <w:tabs>
          <w:tab w:val="num" w:pos="0"/>
        </w:tabs>
        <w:ind w:left="10471" w:hanging="0"/>
      </w:pPr>
      <w:rPr>
        <w:dstrike w:val="false"/>
        <w:strike w:val="false"/>
        <w:vertAlign w:val="baseline"/>
        <w:position w:val="0"/>
        <w:sz w:val="24"/>
        <w:sz w:val="24"/>
        <w:i/>
        <w:u w:val="none" w:color="000000"/>
        <w:b w:val="false"/>
        <w:shd w:fill="auto" w:val="clear"/>
        <w:szCs w:val="24"/>
        <w:iCs/>
        <w:rFonts w:ascii="Times New Roman" w:hAnsi="Times New Roman" w:eastAsia="Times New Roman" w:cs="Times New Roman"/>
        <w:color w:val="000000"/>
      </w:rPr>
    </w:lvl>
    <w:lvl w:ilvl="3">
      <w:start w:val="1"/>
      <w:numFmt w:val="decimal"/>
      <w:lvlText w:val="%4"/>
      <w:lvlJc w:val="left"/>
      <w:pPr>
        <w:tabs>
          <w:tab w:val="num" w:pos="0"/>
        </w:tabs>
        <w:ind w:left="11191" w:hanging="0"/>
      </w:pPr>
      <w:rPr>
        <w:dstrike w:val="false"/>
        <w:strike w:val="false"/>
        <w:vertAlign w:val="baseline"/>
        <w:position w:val="0"/>
        <w:sz w:val="24"/>
        <w:sz w:val="24"/>
        <w:i/>
        <w:u w:val="none" w:color="000000"/>
        <w:b w:val="false"/>
        <w:shd w:fill="auto" w:val="clear"/>
        <w:szCs w:val="24"/>
        <w:iCs/>
        <w:rFonts w:ascii="Times New Roman" w:hAnsi="Times New Roman" w:eastAsia="Times New Roman" w:cs="Times New Roman"/>
        <w:color w:val="000000"/>
      </w:rPr>
    </w:lvl>
    <w:lvl w:ilvl="4">
      <w:start w:val="1"/>
      <w:numFmt w:val="lowerLetter"/>
      <w:lvlText w:val="%5"/>
      <w:lvlJc w:val="left"/>
      <w:pPr>
        <w:tabs>
          <w:tab w:val="num" w:pos="0"/>
        </w:tabs>
        <w:ind w:left="11911" w:hanging="0"/>
      </w:pPr>
      <w:rPr>
        <w:dstrike w:val="false"/>
        <w:strike w:val="false"/>
        <w:vertAlign w:val="baseline"/>
        <w:position w:val="0"/>
        <w:sz w:val="24"/>
        <w:sz w:val="24"/>
        <w:i/>
        <w:u w:val="none" w:color="000000"/>
        <w:b w:val="false"/>
        <w:shd w:fill="auto" w:val="clear"/>
        <w:szCs w:val="24"/>
        <w:iCs/>
        <w:rFonts w:ascii="Times New Roman" w:hAnsi="Times New Roman" w:eastAsia="Times New Roman" w:cs="Times New Roman"/>
        <w:color w:val="000000"/>
      </w:rPr>
    </w:lvl>
    <w:lvl w:ilvl="5">
      <w:start w:val="1"/>
      <w:numFmt w:val="lowerRoman"/>
      <w:lvlText w:val="%6"/>
      <w:lvlJc w:val="left"/>
      <w:pPr>
        <w:tabs>
          <w:tab w:val="num" w:pos="0"/>
        </w:tabs>
        <w:ind w:left="12631" w:hanging="0"/>
      </w:pPr>
      <w:rPr>
        <w:dstrike w:val="false"/>
        <w:strike w:val="false"/>
        <w:vertAlign w:val="baseline"/>
        <w:position w:val="0"/>
        <w:sz w:val="24"/>
        <w:sz w:val="24"/>
        <w:i/>
        <w:u w:val="none" w:color="000000"/>
        <w:b w:val="false"/>
        <w:shd w:fill="auto" w:val="clear"/>
        <w:szCs w:val="24"/>
        <w:iCs/>
        <w:rFonts w:ascii="Times New Roman" w:hAnsi="Times New Roman" w:eastAsia="Times New Roman" w:cs="Times New Roman"/>
        <w:color w:val="000000"/>
      </w:rPr>
    </w:lvl>
    <w:lvl w:ilvl="6">
      <w:start w:val="1"/>
      <w:numFmt w:val="decimal"/>
      <w:lvlText w:val="%7"/>
      <w:lvlJc w:val="left"/>
      <w:pPr>
        <w:tabs>
          <w:tab w:val="num" w:pos="0"/>
        </w:tabs>
        <w:ind w:left="13351" w:hanging="0"/>
      </w:pPr>
      <w:rPr>
        <w:dstrike w:val="false"/>
        <w:strike w:val="false"/>
        <w:vertAlign w:val="baseline"/>
        <w:position w:val="0"/>
        <w:sz w:val="24"/>
        <w:sz w:val="24"/>
        <w:i/>
        <w:u w:val="none" w:color="000000"/>
        <w:b w:val="false"/>
        <w:shd w:fill="auto" w:val="clear"/>
        <w:szCs w:val="24"/>
        <w:iCs/>
        <w:rFonts w:ascii="Times New Roman" w:hAnsi="Times New Roman" w:eastAsia="Times New Roman" w:cs="Times New Roman"/>
        <w:color w:val="000000"/>
      </w:rPr>
    </w:lvl>
    <w:lvl w:ilvl="7">
      <w:start w:val="1"/>
      <w:numFmt w:val="lowerLetter"/>
      <w:lvlText w:val="%8"/>
      <w:lvlJc w:val="left"/>
      <w:pPr>
        <w:tabs>
          <w:tab w:val="num" w:pos="0"/>
        </w:tabs>
        <w:ind w:left="14071" w:hanging="0"/>
      </w:pPr>
      <w:rPr>
        <w:dstrike w:val="false"/>
        <w:strike w:val="false"/>
        <w:vertAlign w:val="baseline"/>
        <w:position w:val="0"/>
        <w:sz w:val="24"/>
        <w:sz w:val="24"/>
        <w:i/>
        <w:u w:val="none" w:color="000000"/>
        <w:b w:val="false"/>
        <w:shd w:fill="auto" w:val="clear"/>
        <w:szCs w:val="24"/>
        <w:iCs/>
        <w:rFonts w:ascii="Times New Roman" w:hAnsi="Times New Roman" w:eastAsia="Times New Roman" w:cs="Times New Roman"/>
        <w:color w:val="000000"/>
      </w:rPr>
    </w:lvl>
    <w:lvl w:ilvl="8">
      <w:start w:val="1"/>
      <w:numFmt w:val="lowerRoman"/>
      <w:lvlText w:val="%9"/>
      <w:lvlJc w:val="left"/>
      <w:pPr>
        <w:tabs>
          <w:tab w:val="num" w:pos="0"/>
        </w:tabs>
        <w:ind w:left="14791" w:hanging="0"/>
      </w:pPr>
      <w:rPr>
        <w:dstrike w:val="false"/>
        <w:strike w:val="false"/>
        <w:vertAlign w:val="baseline"/>
        <w:position w:val="0"/>
        <w:sz w:val="24"/>
        <w:sz w:val="24"/>
        <w:i/>
        <w:u w:val="none" w:color="000000"/>
        <w:b w:val="false"/>
        <w:shd w:fill="auto" w:val="clear"/>
        <w:szCs w:val="24"/>
        <w:iCs/>
        <w:rFonts w:ascii="Times New Roman" w:hAnsi="Times New Roman" w:eastAsia="Times New Roman" w:cs="Times New Roman"/>
        <w:color w:val="000000"/>
      </w:rPr>
    </w:lvl>
  </w:abstractNum>
  <w:abstractNum w:abstractNumId="3">
    <w:lvl w:ilvl="0">
      <w:start w:val="2"/>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7"/>
      <w:numFmt w:val="decimal"/>
      <w:lvlText w:val="%1.%2."/>
      <w:lvlJc w:val="left"/>
      <w:pPr>
        <w:tabs>
          <w:tab w:val="num" w:pos="0"/>
        </w:tabs>
        <w:ind w:left="587"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178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50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22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94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466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38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10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4">
    <w:lvl w:ilvl="0">
      <w:start w:val="2"/>
      <w:numFmt w:val="decimal"/>
      <w:lvlText w:val="%1"/>
      <w:lvlJc w:val="left"/>
      <w:pPr>
        <w:tabs>
          <w:tab w:val="num" w:pos="0"/>
        </w:tabs>
        <w:ind w:left="3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1">
      <w:start w:val="1"/>
      <w:numFmt w:val="decimal"/>
      <w:lvlText w:val="1.%2"/>
      <w:lvlJc w:val="left"/>
      <w:pPr>
        <w:tabs>
          <w:tab w:val="num" w:pos="0"/>
        </w:tabs>
        <w:ind w:left="0" w:hanging="0"/>
      </w:pPr>
      <w:rPr>
        <w:dstrike w:val="false"/>
        <w:strike w:val="false"/>
        <w:vertAlign w:val="baseline"/>
        <w:position w:val="0"/>
        <w:sz w:val="24"/>
        <w:sz w:val="24"/>
        <w:i w:val="false"/>
        <w:u w:val="none" w:color="000000"/>
        <w:b w:val="false"/>
        <w:shd w:fill="auto" w:val="clear"/>
        <w:szCs w:val="24"/>
        <w:color w:val="000000"/>
      </w:rPr>
    </w:lvl>
    <w:lvl w:ilvl="2">
      <w:start w:val="1"/>
      <w:numFmt w:val="lowerRoman"/>
      <w:lvlText w:val="%3"/>
      <w:lvlJc w:val="left"/>
      <w:pPr>
        <w:tabs>
          <w:tab w:val="num" w:pos="0"/>
        </w:tabs>
        <w:ind w:left="178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50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22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394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466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38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108"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5">
    <w:lvl w:ilvl="0">
      <w:start w:val="1"/>
      <w:numFmt w:val="decimal"/>
      <w:lvlText w:val="3.%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4.%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bullet"/>
      <w:lvlText w:val=""/>
      <w:lvlJc w:val="left"/>
      <w:pPr>
        <w:tabs>
          <w:tab w:val="num" w:pos="851"/>
        </w:tabs>
        <w:ind w:left="851" w:hanging="284"/>
      </w:pPr>
      <w:rPr>
        <w:rFonts w:ascii="Symbol" w:hAnsi="Symbol" w:cs="Symbol" w:hint="default"/>
      </w:rPr>
    </w:lvl>
    <w:lvl w:ilvl="1">
      <w:start w:val="1"/>
      <w:numFmt w:val="bullet"/>
      <w:lvlText w:val=""/>
      <w:lvlJc w:val="left"/>
      <w:pPr>
        <w:tabs>
          <w:tab w:val="num" w:pos="1494"/>
        </w:tabs>
        <w:ind w:left="1494" w:hanging="360"/>
      </w:pPr>
      <w:rPr>
        <w:rFonts w:ascii="Symbol" w:hAnsi="Symbol" w:cs="Symbol" w:hint="default"/>
      </w:rPr>
    </w:lvl>
    <w:lvl w:ilvl="2">
      <w:start w:val="1"/>
      <w:numFmt w:val="bullet"/>
      <w:lvlText w:val=""/>
      <w:lvlJc w:val="left"/>
      <w:pPr>
        <w:tabs>
          <w:tab w:val="num" w:pos="2095"/>
        </w:tabs>
        <w:ind w:left="2095" w:hanging="360"/>
      </w:pPr>
      <w:rPr>
        <w:rFonts w:ascii="Symbol" w:hAnsi="Symbol" w:cs="Symbol" w:hint="default"/>
      </w:rPr>
    </w:lvl>
    <w:lvl w:ilvl="3">
      <w:start w:val="1"/>
      <w:numFmt w:val="bullet"/>
      <w:lvlText w:val=""/>
      <w:lvlJc w:val="left"/>
      <w:pPr>
        <w:tabs>
          <w:tab w:val="num" w:pos="2815"/>
        </w:tabs>
        <w:ind w:left="2815" w:hanging="360"/>
      </w:pPr>
      <w:rPr>
        <w:rFonts w:ascii="Symbol" w:hAnsi="Symbol" w:cs="Symbol" w:hint="default"/>
      </w:rPr>
    </w:lvl>
    <w:lvl w:ilvl="4">
      <w:start w:val="1"/>
      <w:numFmt w:val="bullet"/>
      <w:lvlText w:val="o"/>
      <w:lvlJc w:val="left"/>
      <w:pPr>
        <w:tabs>
          <w:tab w:val="num" w:pos="3535"/>
        </w:tabs>
        <w:ind w:left="3535" w:hanging="360"/>
      </w:pPr>
      <w:rPr>
        <w:rFonts w:ascii="Courier New" w:hAnsi="Courier New" w:cs="Courier New" w:hint="default"/>
      </w:rPr>
    </w:lvl>
    <w:lvl w:ilvl="5">
      <w:start w:val="1"/>
      <w:numFmt w:val="bullet"/>
      <w:lvlText w:val=""/>
      <w:lvlJc w:val="left"/>
      <w:pPr>
        <w:tabs>
          <w:tab w:val="num" w:pos="4255"/>
        </w:tabs>
        <w:ind w:left="4255" w:hanging="360"/>
      </w:pPr>
      <w:rPr>
        <w:rFonts w:ascii="Wingdings" w:hAnsi="Wingdings" w:cs="Wingdings" w:hint="default"/>
      </w:rPr>
    </w:lvl>
    <w:lvl w:ilvl="6">
      <w:start w:val="1"/>
      <w:numFmt w:val="bullet"/>
      <w:lvlText w:val=""/>
      <w:lvlJc w:val="left"/>
      <w:pPr>
        <w:tabs>
          <w:tab w:val="num" w:pos="4975"/>
        </w:tabs>
        <w:ind w:left="4975" w:hanging="360"/>
      </w:pPr>
      <w:rPr>
        <w:rFonts w:ascii="Symbol" w:hAnsi="Symbol" w:cs="Symbol" w:hint="default"/>
      </w:rPr>
    </w:lvl>
    <w:lvl w:ilvl="7">
      <w:start w:val="1"/>
      <w:numFmt w:val="bullet"/>
      <w:lvlText w:val="o"/>
      <w:lvlJc w:val="left"/>
      <w:pPr>
        <w:tabs>
          <w:tab w:val="num" w:pos="5695"/>
        </w:tabs>
        <w:ind w:left="5695" w:hanging="360"/>
      </w:pPr>
      <w:rPr>
        <w:rFonts w:ascii="Courier New" w:hAnsi="Courier New" w:cs="Courier New" w:hint="default"/>
      </w:rPr>
    </w:lvl>
    <w:lvl w:ilvl="8">
      <w:start w:val="1"/>
      <w:numFmt w:val="bullet"/>
      <w:lvlText w:val=""/>
      <w:lvlJc w:val="left"/>
      <w:pPr>
        <w:tabs>
          <w:tab w:val="num" w:pos="6415"/>
        </w:tabs>
        <w:ind w:left="6415" w:hanging="360"/>
      </w:pPr>
      <w:rPr>
        <w:rFonts w:ascii="Wingdings" w:hAnsi="Wingdings" w:cs="Wingdings" w:hint="default"/>
      </w:rPr>
    </w:lvl>
  </w:abstractNum>
  <w:abstractNum w:abstractNumId="8">
    <w:lvl w:ilvl="0">
      <w:start w:val="1"/>
      <w:numFmt w:val="decimal"/>
      <w:lvlText w:val="%1."/>
      <w:lvlJc w:val="left"/>
      <w:pPr>
        <w:tabs>
          <w:tab w:val="num" w:pos="0"/>
        </w:tabs>
        <w:ind w:left="360" w:hanging="360"/>
      </w:pPr>
      <w:rPr>
        <w:sz w:val="28"/>
        <w:i w:val="false"/>
        <w:b w:val="false"/>
        <w:rFonts w:ascii="Times New Roman" w:hAnsi="Times New Roman"/>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decimal"/>
      <w:lvlText w:val="%1"/>
      <w:lvlJc w:val="left"/>
      <w:pPr>
        <w:tabs>
          <w:tab w:val="num" w:pos="0"/>
        </w:tabs>
        <w:ind w:left="360" w:hanging="360"/>
      </w:pPr>
      <w:rPr>
        <w:sz w:val="32"/>
        <w:i w:val="false"/>
        <w:b/>
        <w:szCs w:val="32"/>
      </w:rPr>
    </w:lvl>
    <w:lvl w:ilvl="1">
      <w:start w:val="1"/>
      <w:numFmt w:val="decimal"/>
      <w:lvlText w:val="%1.%2"/>
      <w:lvlJc w:val="left"/>
      <w:pPr>
        <w:tabs>
          <w:tab w:val="num" w:pos="709"/>
        </w:tabs>
        <w:ind w:left="709" w:hanging="709"/>
      </w:pPr>
      <w:rPr>
        <w:smallCaps w:val="false"/>
        <w:caps w:val="false"/>
        <w:dstrike w:val="false"/>
        <w:strike w:val="false"/>
        <w:vertAlign w:val="baseline"/>
        <w:position w:val="0"/>
        <w:sz w:val="28"/>
        <w:sz w:val="28"/>
        <w:i w:val="false"/>
        <w:b/>
        <w:szCs w:val="28"/>
        <w:vanish w:val="false"/>
        <w:rFonts w:ascii="Times New Roman" w:hAnsi="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3"/>
      <w:lvlJc w:val="left"/>
      <w:pPr>
        <w:tabs>
          <w:tab w:val="num" w:pos="1135"/>
        </w:tabs>
        <w:ind w:left="1135" w:hanging="709"/>
      </w:pPr>
      <w:rPr>
        <w:smallCaps w:val="false"/>
        <w:caps w:val="false"/>
        <w:dstrike w:val="false"/>
        <w:strike w:val="false"/>
        <w:vertAlign w:val="baseline"/>
        <w:position w:val="0"/>
        <w:sz w:val="24"/>
        <w:sz w:val="24"/>
        <w:spacing w:val="0"/>
        <w:i w:val="false"/>
        <w:u w:val="none"/>
        <w:b w:val="false"/>
        <w:kern w:val="0"/>
        <w:effect w:val="none"/>
        <w:szCs w:val="24"/>
        <w:iCs w:val="false"/>
        <w:bCs w:val="false"/>
        <w:em w:val="none"/>
        <w:vanish w:val="false"/>
        <w:color w:val="000000"/>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3">
      <w:start w:val="1"/>
      <w:numFmt w:val="decimal"/>
      <w:lvlText w:val="%1.%2.%3.%4"/>
      <w:lvlJc w:val="left"/>
      <w:pPr>
        <w:tabs>
          <w:tab w:val="num" w:pos="992"/>
        </w:tabs>
        <w:ind w:left="992" w:hanging="992"/>
      </w:pPr>
      <w:rPr>
        <w:sz w:val="28"/>
        <w:i w:val="false"/>
        <w:b w:val="false"/>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0">
    <w:lvl w:ilvl="0">
      <w:start w:val="1"/>
      <w:numFmt w:val="decimal"/>
      <w:lvlText w:val="%1"/>
      <w:lvlJc w:val="left"/>
      <w:pPr>
        <w:tabs>
          <w:tab w:val="num" w:pos="0"/>
        </w:tabs>
        <w:ind w:left="360" w:hanging="360"/>
      </w:pPr>
      <w:rPr>
        <w:sz w:val="32"/>
        <w:i w:val="false"/>
        <w:b/>
        <w:szCs w:val="32"/>
      </w:rPr>
    </w:lvl>
    <w:lvl w:ilvl="1">
      <w:start w:val="1"/>
      <w:numFmt w:val="decimal"/>
      <w:lvlText w:val="%1.%2"/>
      <w:lvlJc w:val="left"/>
      <w:pPr>
        <w:tabs>
          <w:tab w:val="num" w:pos="709"/>
        </w:tabs>
        <w:ind w:left="709" w:hanging="709"/>
      </w:pPr>
      <w:rPr>
        <w:smallCaps w:val="false"/>
        <w:caps w:val="false"/>
        <w:dstrike w:val="false"/>
        <w:strike w:val="false"/>
        <w:vertAlign w:val="baseline"/>
        <w:position w:val="0"/>
        <w:sz w:val="28"/>
        <w:sz w:val="28"/>
        <w:i w:val="false"/>
        <w:b/>
        <w:szCs w:val="28"/>
        <w:vanish w:val="false"/>
        <w:rFonts w:ascii="Times New Roman" w:hAnsi="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3"/>
      <w:lvlJc w:val="left"/>
      <w:pPr>
        <w:tabs>
          <w:tab w:val="num" w:pos="1135"/>
        </w:tabs>
        <w:ind w:left="1135" w:hanging="709"/>
      </w:pPr>
      <w:rPr>
        <w:smallCaps w:val="false"/>
        <w:caps w:val="false"/>
        <w:dstrike w:val="false"/>
        <w:strike w:val="false"/>
        <w:vertAlign w:val="baseline"/>
        <w:position w:val="0"/>
        <w:sz w:val="24"/>
        <w:sz w:val="24"/>
        <w:spacing w:val="0"/>
        <w:i w:val="false"/>
        <w:u w:val="none"/>
        <w:b w:val="false"/>
        <w:kern w:val="0"/>
        <w:effect w:val="none"/>
        <w:szCs w:val="24"/>
        <w:iCs w:val="false"/>
        <w:bCs w:val="false"/>
        <w:em w:val="none"/>
        <w:vanish w:val="false"/>
        <w:color w:val="000000"/>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3">
      <w:start w:val="1"/>
      <w:numFmt w:val="decimal"/>
      <w:lvlText w:val="%1.%2.%3.%4"/>
      <w:lvlJc w:val="left"/>
      <w:pPr>
        <w:tabs>
          <w:tab w:val="num" w:pos="992"/>
        </w:tabs>
        <w:ind w:left="992" w:hanging="992"/>
      </w:pPr>
      <w:rPr>
        <w:sz w:val="28"/>
        <w:i w:val="false"/>
        <w:b w:val="false"/>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1">
    <w:lvl w:ilvl="0">
      <w:start w:val="1"/>
      <w:numFmt w:val="decimal"/>
      <w:lvlText w:val="%1"/>
      <w:lvlJc w:val="left"/>
      <w:pPr>
        <w:tabs>
          <w:tab w:val="num" w:pos="0"/>
        </w:tabs>
        <w:ind w:left="360" w:hanging="360"/>
      </w:pPr>
      <w:rPr>
        <w:sz w:val="32"/>
        <w:i w:val="false"/>
        <w:b/>
        <w:szCs w:val="32"/>
      </w:rPr>
    </w:lvl>
    <w:lvl w:ilvl="1">
      <w:start w:val="1"/>
      <w:numFmt w:val="decimal"/>
      <w:lvlText w:val="%1.%2"/>
      <w:lvlJc w:val="left"/>
      <w:pPr>
        <w:tabs>
          <w:tab w:val="num" w:pos="709"/>
        </w:tabs>
        <w:ind w:left="709" w:hanging="709"/>
      </w:pPr>
      <w:rPr>
        <w:smallCaps w:val="false"/>
        <w:caps w:val="false"/>
        <w:dstrike w:val="false"/>
        <w:strike w:val="false"/>
        <w:vertAlign w:val="baseline"/>
        <w:position w:val="0"/>
        <w:sz w:val="28"/>
        <w:sz w:val="28"/>
        <w:i w:val="false"/>
        <w:b/>
        <w:szCs w:val="28"/>
        <w:vanish w:val="false"/>
        <w:rFonts w:ascii="Times New Roman" w:hAnsi="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3"/>
      <w:lvlJc w:val="left"/>
      <w:pPr>
        <w:tabs>
          <w:tab w:val="num" w:pos="1135"/>
        </w:tabs>
        <w:ind w:left="1135" w:hanging="709"/>
      </w:pPr>
      <w:rPr>
        <w:smallCaps w:val="false"/>
        <w:caps w:val="false"/>
        <w:dstrike w:val="false"/>
        <w:strike w:val="false"/>
        <w:vertAlign w:val="baseline"/>
        <w:position w:val="0"/>
        <w:sz w:val="24"/>
        <w:sz w:val="24"/>
        <w:spacing w:val="0"/>
        <w:i w:val="false"/>
        <w:u w:val="none"/>
        <w:b w:val="false"/>
        <w:kern w:val="0"/>
        <w:effect w:val="none"/>
        <w:szCs w:val="24"/>
        <w:iCs w:val="false"/>
        <w:bCs w:val="false"/>
        <w:em w:val="none"/>
        <w:vanish w:val="false"/>
        <w:color w:val="000000"/>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3">
      <w:start w:val="1"/>
      <w:numFmt w:val="decimal"/>
      <w:lvlText w:val="%1.%2.%3.%4"/>
      <w:lvlJc w:val="left"/>
      <w:pPr>
        <w:tabs>
          <w:tab w:val="num" w:pos="992"/>
        </w:tabs>
        <w:ind w:left="992" w:hanging="992"/>
      </w:pPr>
      <w:rPr>
        <w:sz w:val="28"/>
        <w:i w:val="false"/>
        <w:b w:val="false"/>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2">
    <w:lvl w:ilvl="0">
      <w:start w:val="1"/>
      <w:numFmt w:val="decimal"/>
      <w:lvlText w:val="%1"/>
      <w:lvlJc w:val="left"/>
      <w:pPr>
        <w:tabs>
          <w:tab w:val="num" w:pos="0"/>
        </w:tabs>
        <w:ind w:left="360" w:hanging="360"/>
      </w:pPr>
      <w:rPr>
        <w:sz w:val="32"/>
        <w:i w:val="false"/>
        <w:b/>
        <w:szCs w:val="32"/>
      </w:rPr>
    </w:lvl>
    <w:lvl w:ilvl="1">
      <w:start w:val="1"/>
      <w:numFmt w:val="decimal"/>
      <w:lvlText w:val="%1.%2"/>
      <w:lvlJc w:val="left"/>
      <w:pPr>
        <w:tabs>
          <w:tab w:val="num" w:pos="709"/>
        </w:tabs>
        <w:ind w:left="709" w:hanging="709"/>
      </w:pPr>
      <w:rPr>
        <w:smallCaps w:val="false"/>
        <w:caps w:val="false"/>
        <w:dstrike w:val="false"/>
        <w:strike w:val="false"/>
        <w:vertAlign w:val="baseline"/>
        <w:position w:val="0"/>
        <w:sz w:val="28"/>
        <w:sz w:val="28"/>
        <w:i w:val="false"/>
        <w:b/>
        <w:szCs w:val="28"/>
        <w:vanish w:val="false"/>
        <w:rFonts w:ascii="Times New Roman" w:hAnsi="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3"/>
      <w:lvlJc w:val="left"/>
      <w:pPr>
        <w:tabs>
          <w:tab w:val="num" w:pos="1135"/>
        </w:tabs>
        <w:ind w:left="1135" w:hanging="709"/>
      </w:pPr>
      <w:rPr>
        <w:smallCaps w:val="false"/>
        <w:caps w:val="false"/>
        <w:dstrike w:val="false"/>
        <w:strike w:val="false"/>
        <w:vertAlign w:val="baseline"/>
        <w:position w:val="0"/>
        <w:sz w:val="24"/>
        <w:sz w:val="24"/>
        <w:spacing w:val="0"/>
        <w:i w:val="false"/>
        <w:u w:val="none"/>
        <w:b w:val="false"/>
        <w:kern w:val="0"/>
        <w:effect w:val="none"/>
        <w:szCs w:val="24"/>
        <w:iCs w:val="false"/>
        <w:bCs w:val="false"/>
        <w:em w:val="none"/>
        <w:vanish w:val="false"/>
        <w:color w:val="000000"/>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3">
      <w:start w:val="1"/>
      <w:numFmt w:val="decimal"/>
      <w:lvlText w:val="%1.%2.%3.%4"/>
      <w:lvlJc w:val="left"/>
      <w:pPr>
        <w:tabs>
          <w:tab w:val="num" w:pos="992"/>
        </w:tabs>
        <w:ind w:left="992" w:hanging="992"/>
      </w:pPr>
      <w:rPr>
        <w:sz w:val="28"/>
        <w:i w:val="false"/>
        <w:b w:val="false"/>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3">
    <w:lvl w:ilvl="0">
      <w:start w:val="1"/>
      <w:numFmt w:val="decimal"/>
      <w:lvlText w:val="%1"/>
      <w:lvlJc w:val="left"/>
      <w:pPr>
        <w:tabs>
          <w:tab w:val="num" w:pos="0"/>
        </w:tabs>
        <w:ind w:left="360" w:hanging="360"/>
      </w:pPr>
      <w:rPr>
        <w:sz w:val="32"/>
        <w:i w:val="false"/>
        <w:b/>
        <w:szCs w:val="32"/>
      </w:rPr>
    </w:lvl>
    <w:lvl w:ilvl="1">
      <w:start w:val="1"/>
      <w:numFmt w:val="decimal"/>
      <w:lvlText w:val="%1.%2"/>
      <w:lvlJc w:val="left"/>
      <w:pPr>
        <w:tabs>
          <w:tab w:val="num" w:pos="709"/>
        </w:tabs>
        <w:ind w:left="709" w:hanging="709"/>
      </w:pPr>
      <w:rPr>
        <w:smallCaps w:val="false"/>
        <w:caps w:val="false"/>
        <w:dstrike w:val="false"/>
        <w:strike w:val="false"/>
        <w:vertAlign w:val="baseline"/>
        <w:position w:val="0"/>
        <w:sz w:val="28"/>
        <w:sz w:val="28"/>
        <w:i w:val="false"/>
        <w:b/>
        <w:szCs w:val="28"/>
        <w:vanish w:val="false"/>
        <w:rFonts w:ascii="Times New Roman" w:hAnsi="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3"/>
      <w:lvlJc w:val="left"/>
      <w:pPr>
        <w:tabs>
          <w:tab w:val="num" w:pos="1135"/>
        </w:tabs>
        <w:ind w:left="1135" w:hanging="709"/>
      </w:pPr>
      <w:rPr>
        <w:smallCaps w:val="false"/>
        <w:caps w:val="false"/>
        <w:dstrike w:val="false"/>
        <w:strike w:val="false"/>
        <w:vertAlign w:val="baseline"/>
        <w:position w:val="0"/>
        <w:sz w:val="24"/>
        <w:sz w:val="24"/>
        <w:spacing w:val="0"/>
        <w:i w:val="false"/>
        <w:u w:val="none"/>
        <w:b w:val="false"/>
        <w:kern w:val="0"/>
        <w:effect w:val="none"/>
        <w:szCs w:val="24"/>
        <w:iCs w:val="false"/>
        <w:bCs w:val="false"/>
        <w:em w:val="none"/>
        <w:vanish w:val="false"/>
        <w:color w:val="000000"/>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3">
      <w:start w:val="1"/>
      <w:numFmt w:val="decimal"/>
      <w:lvlText w:val="%1.%2.%3.%4"/>
      <w:lvlJc w:val="left"/>
      <w:pPr>
        <w:tabs>
          <w:tab w:val="num" w:pos="992"/>
        </w:tabs>
        <w:ind w:left="992" w:hanging="992"/>
      </w:pPr>
      <w:rPr>
        <w:sz w:val="28"/>
        <w:i w:val="false"/>
        <w:b w:val="false"/>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4">
    <w:lvl w:ilvl="0">
      <w:start w:val="1"/>
      <w:numFmt w:val="decimal"/>
      <w:lvlText w:val="%1"/>
      <w:lvlJc w:val="left"/>
      <w:pPr>
        <w:tabs>
          <w:tab w:val="num" w:pos="0"/>
        </w:tabs>
        <w:ind w:left="360" w:hanging="360"/>
      </w:pPr>
      <w:rPr>
        <w:sz w:val="32"/>
        <w:i w:val="false"/>
        <w:b/>
        <w:szCs w:val="32"/>
      </w:rPr>
    </w:lvl>
    <w:lvl w:ilvl="1">
      <w:start w:val="1"/>
      <w:numFmt w:val="decimal"/>
      <w:lvlText w:val="%1.%2"/>
      <w:lvlJc w:val="left"/>
      <w:pPr>
        <w:tabs>
          <w:tab w:val="num" w:pos="709"/>
        </w:tabs>
        <w:ind w:left="709" w:hanging="709"/>
      </w:pPr>
      <w:rPr>
        <w:smallCaps w:val="false"/>
        <w:caps w:val="false"/>
        <w:dstrike w:val="false"/>
        <w:strike w:val="false"/>
        <w:vertAlign w:val="baseline"/>
        <w:position w:val="0"/>
        <w:sz w:val="28"/>
        <w:sz w:val="28"/>
        <w:i w:val="false"/>
        <w:b/>
        <w:szCs w:val="28"/>
        <w:vanish w:val="false"/>
        <w:rFonts w:ascii="Times New Roman" w:hAnsi="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3"/>
      <w:lvlJc w:val="left"/>
      <w:pPr>
        <w:tabs>
          <w:tab w:val="num" w:pos="1135"/>
        </w:tabs>
        <w:ind w:left="1135" w:hanging="709"/>
      </w:pPr>
      <w:rPr>
        <w:smallCaps w:val="false"/>
        <w:caps w:val="false"/>
        <w:dstrike w:val="false"/>
        <w:strike w:val="false"/>
        <w:vertAlign w:val="baseline"/>
        <w:position w:val="0"/>
        <w:sz w:val="24"/>
        <w:sz w:val="24"/>
        <w:spacing w:val="0"/>
        <w:i w:val="false"/>
        <w:u w:val="none"/>
        <w:b w:val="false"/>
        <w:kern w:val="0"/>
        <w:effect w:val="none"/>
        <w:szCs w:val="24"/>
        <w:iCs w:val="false"/>
        <w:bCs w:val="false"/>
        <w:em w:val="none"/>
        <w:vanish w:val="false"/>
        <w:color w:val="000000"/>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3">
      <w:start w:val="1"/>
      <w:numFmt w:val="decimal"/>
      <w:lvlText w:val="%1.%2.%3.%4"/>
      <w:lvlJc w:val="left"/>
      <w:pPr>
        <w:tabs>
          <w:tab w:val="num" w:pos="992"/>
        </w:tabs>
        <w:ind w:left="992" w:hanging="992"/>
      </w:pPr>
      <w:rPr>
        <w:sz w:val="28"/>
        <w:i w:val="false"/>
        <w:b w:val="false"/>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5">
    <w:lvl w:ilvl="0">
      <w:start w:val="1"/>
      <w:numFmt w:val="decimal"/>
      <w:lvlText w:val="%1"/>
      <w:lvlJc w:val="left"/>
      <w:pPr>
        <w:tabs>
          <w:tab w:val="num" w:pos="0"/>
        </w:tabs>
        <w:ind w:left="360" w:hanging="360"/>
      </w:pPr>
      <w:rPr>
        <w:sz w:val="32"/>
        <w:i w:val="false"/>
        <w:b/>
        <w:szCs w:val="32"/>
      </w:rPr>
    </w:lvl>
    <w:lvl w:ilvl="1">
      <w:start w:val="1"/>
      <w:numFmt w:val="decimal"/>
      <w:lvlText w:val="%1.%2"/>
      <w:lvlJc w:val="left"/>
      <w:pPr>
        <w:tabs>
          <w:tab w:val="num" w:pos="709"/>
        </w:tabs>
        <w:ind w:left="709" w:hanging="709"/>
      </w:pPr>
      <w:rPr>
        <w:smallCaps w:val="false"/>
        <w:caps w:val="false"/>
        <w:dstrike w:val="false"/>
        <w:strike w:val="false"/>
        <w:vertAlign w:val="baseline"/>
        <w:position w:val="0"/>
        <w:sz w:val="28"/>
        <w:sz w:val="28"/>
        <w:i w:val="false"/>
        <w:b/>
        <w:szCs w:val="28"/>
        <w:vanish w:val="false"/>
        <w:rFonts w:ascii="Times New Roman" w:hAnsi="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3"/>
      <w:lvlJc w:val="left"/>
      <w:pPr>
        <w:tabs>
          <w:tab w:val="num" w:pos="1135"/>
        </w:tabs>
        <w:ind w:left="1135" w:hanging="709"/>
      </w:pPr>
      <w:rPr>
        <w:smallCaps w:val="false"/>
        <w:caps w:val="false"/>
        <w:dstrike w:val="false"/>
        <w:strike w:val="false"/>
        <w:vertAlign w:val="baseline"/>
        <w:position w:val="0"/>
        <w:sz w:val="24"/>
        <w:sz w:val="24"/>
        <w:spacing w:val="0"/>
        <w:i w:val="false"/>
        <w:u w:val="none"/>
        <w:b w:val="false"/>
        <w:kern w:val="0"/>
        <w:effect w:val="none"/>
        <w:szCs w:val="24"/>
        <w:iCs w:val="false"/>
        <w:bCs w:val="false"/>
        <w:em w:val="none"/>
        <w:vanish w:val="false"/>
        <w:color w:val="000000"/>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3">
      <w:start w:val="1"/>
      <w:numFmt w:val="decimal"/>
      <w:lvlText w:val="%1.%2.%3.%4"/>
      <w:lvlJc w:val="left"/>
      <w:pPr>
        <w:tabs>
          <w:tab w:val="num" w:pos="992"/>
        </w:tabs>
        <w:ind w:left="992" w:hanging="992"/>
      </w:pPr>
      <w:rPr>
        <w:sz w:val="28"/>
        <w:i w:val="false"/>
        <w:b w:val="false"/>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6">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7">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8">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9">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0">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1">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2">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3">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4">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5">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6">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7">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8">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9">
    <w:lvl w:ilvl="0">
      <w:start w:val="1"/>
      <w:numFmt w:val="decimal"/>
      <w:lvlText w:val="%1."/>
      <w:lvlJc w:val="left"/>
      <w:pPr>
        <w:tabs>
          <w:tab w:val="num" w:pos="0"/>
        </w:tabs>
        <w:ind w:left="360" w:hanging="360"/>
      </w:pPr>
      <w:rPr>
        <w:sz w:val="28"/>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0">
    <w:lvl w:ilvl="0">
      <w:start w:val="1"/>
      <w:numFmt w:val="decimal"/>
      <w:lvlText w:val="Приложение № %1"/>
      <w:lvlJc w:val="left"/>
      <w:pPr>
        <w:tabs>
          <w:tab w:val="num" w:pos="0"/>
        </w:tabs>
        <w:ind w:left="360" w:hanging="360"/>
      </w:pPr>
      <w:rPr>
        <w:sz w:val="28"/>
        <w:i w:val="false"/>
        <w:b w:val="false"/>
        <w:rFonts w:ascii="Times New Roman" w:hAnsi="Times New Roman"/>
      </w:rPr>
    </w:lvl>
    <w:lvl w:ilvl="1">
      <w:start w:val="1"/>
      <w:numFmt w:val="lowerLetter"/>
      <w:lvlText w:val="%2."/>
      <w:lvlJc w:val="left"/>
      <w:pPr>
        <w:tabs>
          <w:tab w:val="num" w:pos="0"/>
        </w:tabs>
        <w:ind w:left="2280" w:hanging="360"/>
      </w:pPr>
      <w:rPr/>
    </w:lvl>
    <w:lvl w:ilvl="2">
      <w:start w:val="1"/>
      <w:numFmt w:val="lowerRoman"/>
      <w:lvlText w:val="%3."/>
      <w:lvlJc w:val="right"/>
      <w:pPr>
        <w:tabs>
          <w:tab w:val="num" w:pos="0"/>
        </w:tabs>
        <w:ind w:left="3000" w:hanging="180"/>
      </w:pPr>
      <w:rPr/>
    </w:lvl>
    <w:lvl w:ilvl="3">
      <w:start w:val="1"/>
      <w:numFmt w:val="decimal"/>
      <w:lvlText w:val="%4."/>
      <w:lvlJc w:val="left"/>
      <w:pPr>
        <w:tabs>
          <w:tab w:val="num" w:pos="0"/>
        </w:tabs>
        <w:ind w:left="3720" w:hanging="360"/>
      </w:pPr>
      <w:rPr/>
    </w:lvl>
    <w:lvl w:ilvl="4">
      <w:start w:val="1"/>
      <w:numFmt w:val="lowerLetter"/>
      <w:lvlText w:val="%5."/>
      <w:lvlJc w:val="left"/>
      <w:pPr>
        <w:tabs>
          <w:tab w:val="num" w:pos="0"/>
        </w:tabs>
        <w:ind w:left="4440" w:hanging="360"/>
      </w:pPr>
      <w:rPr/>
    </w:lvl>
    <w:lvl w:ilvl="5">
      <w:start w:val="1"/>
      <w:numFmt w:val="lowerRoman"/>
      <w:lvlText w:val="%6."/>
      <w:lvlJc w:val="right"/>
      <w:pPr>
        <w:tabs>
          <w:tab w:val="num" w:pos="0"/>
        </w:tabs>
        <w:ind w:left="5160" w:hanging="180"/>
      </w:pPr>
      <w:rPr/>
    </w:lvl>
    <w:lvl w:ilvl="6">
      <w:start w:val="1"/>
      <w:numFmt w:val="decimal"/>
      <w:lvlText w:val="%7."/>
      <w:lvlJc w:val="left"/>
      <w:pPr>
        <w:tabs>
          <w:tab w:val="num" w:pos="0"/>
        </w:tabs>
        <w:ind w:left="5880" w:hanging="360"/>
      </w:pPr>
      <w:rPr/>
    </w:lvl>
    <w:lvl w:ilvl="7">
      <w:start w:val="1"/>
      <w:numFmt w:val="lowerLetter"/>
      <w:lvlText w:val="%8."/>
      <w:lvlJc w:val="left"/>
      <w:pPr>
        <w:tabs>
          <w:tab w:val="num" w:pos="0"/>
        </w:tabs>
        <w:ind w:left="6600" w:hanging="360"/>
      </w:pPr>
      <w:rPr/>
    </w:lvl>
    <w:lvl w:ilvl="8">
      <w:start w:val="1"/>
      <w:numFmt w:val="lowerRoman"/>
      <w:lvlText w:val="%9."/>
      <w:lvlJc w:val="right"/>
      <w:pPr>
        <w:tabs>
          <w:tab w:val="num" w:pos="0"/>
        </w:tabs>
        <w:ind w:left="7320" w:hanging="180"/>
      </w:pPr>
      <w:rPr/>
    </w:lvl>
  </w:abstractNum>
  <w:abstractNum w:abstractNumId="31">
    <w:lvl w:ilvl="0">
      <w:start w:val="1"/>
      <w:numFmt w:val="bullet"/>
      <w:lvlText w:val=""/>
      <w:lvlJc w:val="left"/>
      <w:pPr>
        <w:tabs>
          <w:tab w:val="num" w:pos="851"/>
        </w:tabs>
        <w:ind w:left="851" w:hanging="284"/>
      </w:pPr>
      <w:rPr>
        <w:rFonts w:ascii="Symbol" w:hAnsi="Symbol" w:cs="Symbol" w:hint="default"/>
      </w:rPr>
    </w:lvl>
    <w:lvl w:ilvl="1">
      <w:start w:val="1"/>
      <w:numFmt w:val="bullet"/>
      <w:lvlText w:val=""/>
      <w:lvlJc w:val="left"/>
      <w:pPr>
        <w:tabs>
          <w:tab w:val="num" w:pos="1494"/>
        </w:tabs>
        <w:ind w:left="1494" w:hanging="360"/>
      </w:pPr>
      <w:rPr>
        <w:rFonts w:ascii="Symbol" w:hAnsi="Symbol" w:cs="Symbol" w:hint="default"/>
      </w:rPr>
    </w:lvl>
    <w:lvl w:ilvl="2">
      <w:start w:val="1"/>
      <w:numFmt w:val="bullet"/>
      <w:lvlText w:val=""/>
      <w:lvlJc w:val="left"/>
      <w:pPr>
        <w:tabs>
          <w:tab w:val="num" w:pos="2095"/>
        </w:tabs>
        <w:ind w:left="2095" w:hanging="360"/>
      </w:pPr>
      <w:rPr>
        <w:rFonts w:ascii="Symbol" w:hAnsi="Symbol" w:cs="Symbol" w:hint="default"/>
      </w:rPr>
    </w:lvl>
    <w:lvl w:ilvl="3">
      <w:start w:val="1"/>
      <w:numFmt w:val="bullet"/>
      <w:lvlText w:val=""/>
      <w:lvlJc w:val="left"/>
      <w:pPr>
        <w:tabs>
          <w:tab w:val="num" w:pos="2815"/>
        </w:tabs>
        <w:ind w:left="2815" w:hanging="360"/>
      </w:pPr>
      <w:rPr>
        <w:rFonts w:ascii="Symbol" w:hAnsi="Symbol" w:cs="Symbol" w:hint="default"/>
      </w:rPr>
    </w:lvl>
    <w:lvl w:ilvl="4">
      <w:start w:val="1"/>
      <w:numFmt w:val="bullet"/>
      <w:lvlText w:val="o"/>
      <w:lvlJc w:val="left"/>
      <w:pPr>
        <w:tabs>
          <w:tab w:val="num" w:pos="3535"/>
        </w:tabs>
        <w:ind w:left="3535" w:hanging="360"/>
      </w:pPr>
      <w:rPr>
        <w:rFonts w:ascii="Courier New" w:hAnsi="Courier New" w:cs="Courier New" w:hint="default"/>
      </w:rPr>
    </w:lvl>
    <w:lvl w:ilvl="5">
      <w:start w:val="1"/>
      <w:numFmt w:val="bullet"/>
      <w:lvlText w:val=""/>
      <w:lvlJc w:val="left"/>
      <w:pPr>
        <w:tabs>
          <w:tab w:val="num" w:pos="4255"/>
        </w:tabs>
        <w:ind w:left="4255" w:hanging="360"/>
      </w:pPr>
      <w:rPr>
        <w:rFonts w:ascii="Wingdings" w:hAnsi="Wingdings" w:cs="Wingdings" w:hint="default"/>
      </w:rPr>
    </w:lvl>
    <w:lvl w:ilvl="6">
      <w:start w:val="1"/>
      <w:numFmt w:val="bullet"/>
      <w:lvlText w:val=""/>
      <w:lvlJc w:val="left"/>
      <w:pPr>
        <w:tabs>
          <w:tab w:val="num" w:pos="4975"/>
        </w:tabs>
        <w:ind w:left="4975" w:hanging="360"/>
      </w:pPr>
      <w:rPr>
        <w:rFonts w:ascii="Symbol" w:hAnsi="Symbol" w:cs="Symbol" w:hint="default"/>
      </w:rPr>
    </w:lvl>
    <w:lvl w:ilvl="7">
      <w:start w:val="1"/>
      <w:numFmt w:val="bullet"/>
      <w:lvlText w:val="o"/>
      <w:lvlJc w:val="left"/>
      <w:pPr>
        <w:tabs>
          <w:tab w:val="num" w:pos="5695"/>
        </w:tabs>
        <w:ind w:left="5695" w:hanging="360"/>
      </w:pPr>
      <w:rPr>
        <w:rFonts w:ascii="Courier New" w:hAnsi="Courier New" w:cs="Courier New" w:hint="default"/>
      </w:rPr>
    </w:lvl>
    <w:lvl w:ilvl="8">
      <w:start w:val="1"/>
      <w:numFmt w:val="bullet"/>
      <w:lvlText w:val=""/>
      <w:lvlJc w:val="left"/>
      <w:pPr>
        <w:tabs>
          <w:tab w:val="num" w:pos="6415"/>
        </w:tabs>
        <w:ind w:left="6415" w:hanging="360"/>
      </w:pPr>
      <w:rPr>
        <w:rFonts w:ascii="Wingdings" w:hAnsi="Wingdings" w:cs="Wingdings" w:hint="default"/>
      </w:rPr>
    </w:lvl>
  </w:abstractNum>
  <w:abstractNum w:abstractNumId="3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3">
    <w:lvl w:ilvl="0">
      <w:start w:val="1"/>
      <w:numFmt w:val="decimal"/>
      <w:lvlText w:val="%1."/>
      <w:lvlJc w:val="left"/>
      <w:pPr>
        <w:tabs>
          <w:tab w:val="num" w:pos="0"/>
        </w:tabs>
        <w:ind w:left="360" w:hanging="360"/>
      </w:pPr>
      <w:rPr>
        <w:sz w:val="28"/>
        <w:i w:val="false"/>
        <w:b w:val="false"/>
        <w:rFonts w:ascii="Times New Roman" w:hAnsi="Times New Roman"/>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4">
    <w:lvl w:ilvl="0">
      <w:start w:val="1"/>
      <w:numFmt w:val="bullet"/>
      <w:lvlText w:val="•"/>
      <w:lvlJc w:val="left"/>
      <w:pPr>
        <w:tabs>
          <w:tab w:val="num" w:pos="0"/>
        </w:tabs>
        <w:ind w:left="-1017" w:hanging="360"/>
      </w:pPr>
      <w:rPr>
        <w:rFonts w:ascii="Times New Roman" w:hAnsi="Times New Roman" w:cs="Times New Roman" w:hint="default"/>
      </w:rPr>
    </w:lvl>
    <w:lvl w:ilvl="1">
      <w:start w:val="1"/>
      <w:numFmt w:val="bullet"/>
      <w:lvlText w:val="o"/>
      <w:lvlJc w:val="left"/>
      <w:pPr>
        <w:tabs>
          <w:tab w:val="num" w:pos="0"/>
        </w:tabs>
        <w:ind w:left="-657" w:hanging="360"/>
      </w:pPr>
      <w:rPr>
        <w:rFonts w:ascii="Courier New" w:hAnsi="Courier New" w:cs="Courier New" w:hint="default"/>
      </w:rPr>
    </w:lvl>
    <w:lvl w:ilvl="2">
      <w:start w:val="1"/>
      <w:numFmt w:val="bullet"/>
      <w:lvlText w:val=""/>
      <w:lvlJc w:val="left"/>
      <w:pPr>
        <w:tabs>
          <w:tab w:val="num" w:pos="0"/>
        </w:tabs>
        <w:ind w:left="63" w:hanging="360"/>
      </w:pPr>
      <w:rPr>
        <w:rFonts w:ascii="Wingdings" w:hAnsi="Wingdings" w:cs="Wingdings" w:hint="default"/>
      </w:rPr>
    </w:lvl>
    <w:lvl w:ilvl="3">
      <w:start w:val="1"/>
      <w:numFmt w:val="bullet"/>
      <w:lvlText w:val=""/>
      <w:lvlJc w:val="left"/>
      <w:pPr>
        <w:tabs>
          <w:tab w:val="num" w:pos="0"/>
        </w:tabs>
        <w:ind w:left="783" w:hanging="360"/>
      </w:pPr>
      <w:rPr>
        <w:rFonts w:ascii="Symbol" w:hAnsi="Symbol" w:cs="Symbol" w:hint="default"/>
      </w:rPr>
    </w:lvl>
    <w:lvl w:ilvl="4">
      <w:start w:val="1"/>
      <w:numFmt w:val="bullet"/>
      <w:lvlText w:val="o"/>
      <w:lvlJc w:val="left"/>
      <w:pPr>
        <w:tabs>
          <w:tab w:val="num" w:pos="0"/>
        </w:tabs>
        <w:ind w:left="1503" w:hanging="360"/>
      </w:pPr>
      <w:rPr>
        <w:rFonts w:ascii="Courier New" w:hAnsi="Courier New" w:cs="Courier New" w:hint="default"/>
      </w:rPr>
    </w:lvl>
    <w:lvl w:ilvl="5">
      <w:start w:val="1"/>
      <w:numFmt w:val="bullet"/>
      <w:lvlText w:val=""/>
      <w:lvlJc w:val="left"/>
      <w:pPr>
        <w:tabs>
          <w:tab w:val="num" w:pos="0"/>
        </w:tabs>
        <w:ind w:left="2223" w:hanging="360"/>
      </w:pPr>
      <w:rPr>
        <w:rFonts w:ascii="Wingdings" w:hAnsi="Wingdings" w:cs="Wingdings" w:hint="default"/>
      </w:rPr>
    </w:lvl>
    <w:lvl w:ilvl="6">
      <w:start w:val="1"/>
      <w:numFmt w:val="bullet"/>
      <w:lvlText w:val=""/>
      <w:lvlJc w:val="left"/>
      <w:pPr>
        <w:tabs>
          <w:tab w:val="num" w:pos="0"/>
        </w:tabs>
        <w:ind w:left="2943" w:hanging="360"/>
      </w:pPr>
      <w:rPr>
        <w:rFonts w:ascii="Symbol" w:hAnsi="Symbol" w:cs="Symbol" w:hint="default"/>
      </w:rPr>
    </w:lvl>
    <w:lvl w:ilvl="7">
      <w:start w:val="1"/>
      <w:numFmt w:val="bullet"/>
      <w:lvlText w:val="o"/>
      <w:lvlJc w:val="left"/>
      <w:pPr>
        <w:tabs>
          <w:tab w:val="num" w:pos="0"/>
        </w:tabs>
        <w:ind w:left="3663" w:hanging="360"/>
      </w:pPr>
      <w:rPr>
        <w:rFonts w:ascii="Courier New" w:hAnsi="Courier New" w:cs="Courier New" w:hint="default"/>
      </w:rPr>
    </w:lvl>
    <w:lvl w:ilvl="8">
      <w:start w:val="1"/>
      <w:numFmt w:val="bullet"/>
      <w:lvlText w:val=""/>
      <w:lvlJc w:val="left"/>
      <w:pPr>
        <w:tabs>
          <w:tab w:val="num" w:pos="0"/>
        </w:tabs>
        <w:ind w:left="4383" w:hanging="360"/>
      </w:pPr>
      <w:rPr>
        <w:rFonts w:ascii="Wingdings" w:hAnsi="Wingdings" w:cs="Wingdings" w:hint="default"/>
      </w:rPr>
    </w:lvl>
  </w:abstractNum>
  <w:abstractNum w:abstractNumId="35">
    <w:lvl w:ilvl="0">
      <w:start w:val="1"/>
      <w:numFmt w:val="decimal"/>
      <w:suff w:val="space"/>
      <w:lvlText w:val="%1"/>
      <w:lvlJc w:val="left"/>
      <w:pPr>
        <w:tabs>
          <w:tab w:val="num" w:pos="0"/>
        </w:tabs>
        <w:ind w:left="0" w:hanging="0"/>
      </w:pPr>
      <w:rPr>
        <w:rFonts w:cs="Times New Roman"/>
      </w:rPr>
    </w:lvl>
    <w:lvl w:ilvl="1">
      <w:start w:val="1"/>
      <w:numFmt w:val="decimal"/>
      <w:suff w:val="space"/>
      <w:lvlText w:val="%1.%2"/>
      <w:lvlJc w:val="left"/>
      <w:pPr>
        <w:tabs>
          <w:tab w:val="num" w:pos="0"/>
        </w:tabs>
        <w:ind w:left="0" w:hanging="0"/>
      </w:pPr>
      <w:rPr>
        <w:rFonts w:cs="Times New Roman"/>
      </w:rPr>
    </w:lvl>
    <w:lvl w:ilvl="2">
      <w:start w:val="1"/>
      <w:numFmt w:val="decimal"/>
      <w:suff w:val="space"/>
      <w:lvlText w:val="%1.%2.%3"/>
      <w:lvlJc w:val="left"/>
      <w:pPr>
        <w:tabs>
          <w:tab w:val="num" w:pos="0"/>
        </w:tabs>
        <w:ind w:left="0" w:hanging="0"/>
      </w:pPr>
      <w:rPr>
        <w:rFonts w:cs="Times New Roman"/>
      </w:rPr>
    </w:lvl>
    <w:lvl w:ilvl="3">
      <w:start w:val="1"/>
      <w:numFmt w:val="decimal"/>
      <w:lvlText w:val="%1.%2.%3.%4."/>
      <w:lvlJc w:val="left"/>
      <w:pPr>
        <w:tabs>
          <w:tab w:val="num" w:pos="360"/>
        </w:tabs>
        <w:ind w:left="0" w:hanging="0"/>
      </w:pPr>
      <w:rPr>
        <w:rFonts w:cs="Times New Roman"/>
      </w:rPr>
    </w:lvl>
    <w:lvl w:ilvl="4">
      <w:start w:val="1"/>
      <w:numFmt w:val="decimal"/>
      <w:lvlText w:val="%1.%2.%3.%4.%5."/>
      <w:lvlJc w:val="left"/>
      <w:pPr>
        <w:tabs>
          <w:tab w:val="num" w:pos="360"/>
        </w:tabs>
        <w:ind w:left="0" w:hanging="0"/>
      </w:pPr>
      <w:rPr>
        <w:rFonts w:cs="Times New Roman"/>
      </w:rPr>
    </w:lvl>
    <w:lvl w:ilvl="5">
      <w:start w:val="1"/>
      <w:numFmt w:val="decimal"/>
      <w:lvlText w:val="%1.%2.%3.%4.%5.%6."/>
      <w:lvlJc w:val="left"/>
      <w:pPr>
        <w:tabs>
          <w:tab w:val="num" w:pos="360"/>
        </w:tabs>
        <w:ind w:left="0" w:hanging="0"/>
      </w:pPr>
      <w:rPr>
        <w:rFonts w:cs="Times New Roman"/>
      </w:rPr>
    </w:lvl>
    <w:lvl w:ilvl="6">
      <w:start w:val="1"/>
      <w:numFmt w:val="decimal"/>
      <w:lvlText w:val="%1.%2.%3.%4.%5.%6.%7."/>
      <w:lvlJc w:val="left"/>
      <w:pPr>
        <w:tabs>
          <w:tab w:val="num" w:pos="360"/>
        </w:tabs>
        <w:ind w:left="0" w:hanging="0"/>
      </w:pPr>
      <w:rPr>
        <w:rFonts w:cs="Times New Roman"/>
      </w:rPr>
    </w:lvl>
    <w:lvl w:ilvl="7">
      <w:start w:val="1"/>
      <w:numFmt w:val="decimal"/>
      <w:lvlText w:val="%1.%2.%3.%4.%5.%6.%7.%8."/>
      <w:lvlJc w:val="left"/>
      <w:pPr>
        <w:tabs>
          <w:tab w:val="num" w:pos="360"/>
        </w:tabs>
        <w:ind w:left="0" w:hanging="0"/>
      </w:pPr>
      <w:rPr>
        <w:rFonts w:cs="Times New Roman"/>
      </w:rPr>
    </w:lvl>
    <w:lvl w:ilvl="8">
      <w:start w:val="1"/>
      <w:numFmt w:val="decimal"/>
      <w:lvlText w:val="%1.%2.%3.%4.%5.%6.%7.%8.%9."/>
      <w:lvlJc w:val="left"/>
      <w:pPr>
        <w:tabs>
          <w:tab w:val="num" w:pos="360"/>
        </w:tabs>
        <w:ind w:left="0" w:hanging="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8"/>
    <w:lvlOverride w:ilvl="0">
      <w:startOverride w:val="1"/>
    </w:lvlOverride>
  </w:num>
  <w:num w:numId="37">
    <w:abstractNumId w:val="9"/>
  </w:num>
  <w:num w:numId="38">
    <w:abstractNumId w:val="9"/>
  </w:num>
  <w:num w:numId="39">
    <w:abstractNumId w:val="9"/>
  </w:num>
  <w:num w:numId="40">
    <w:abstractNumId w:val="9"/>
  </w:num>
  <w:num w:numId="41">
    <w:abstractNumId w:val="9"/>
  </w:num>
  <w:num w:numId="42">
    <w:abstractNumId w:val="9"/>
  </w:num>
  <w:num w:numId="43">
    <w:abstractNumId w:val="16"/>
    <w:lvlOverride w:ilvl="0">
      <w:startOverride w:val="1"/>
    </w:lvlOverride>
  </w:num>
  <w:num w:numId="44">
    <w:abstractNumId w:val="16"/>
  </w:num>
  <w:num w:numId="45">
    <w:abstractNumId w:val="16"/>
  </w:num>
  <w:num w:numId="46">
    <w:abstractNumId w:val="16"/>
  </w:num>
  <w:num w:numId="47">
    <w:abstractNumId w:val="16"/>
    <w:lvlOverride w:ilvl="0">
      <w:startOverride w:val="1"/>
    </w:lvlOverride>
  </w:num>
  <w:num w:numId="48">
    <w:abstractNumId w:val="16"/>
  </w:num>
  <w:num w:numId="49">
    <w:abstractNumId w:val="16"/>
  </w:num>
  <w:num w:numId="50">
    <w:abstractNumId w:val="16"/>
  </w:num>
  <w:num w:numId="51">
    <w:abstractNumId w:val="16"/>
  </w:num>
  <w:num w:numId="52">
    <w:abstractNumId w:val="16"/>
  </w:num>
  <w:num w:numId="53">
    <w:abstractNumId w:val="16"/>
  </w:num>
  <w:num w:numId="54">
    <w:abstractNumId w:val="16"/>
  </w:num>
  <w:num w:numId="55">
    <w:abstractNumId w:val="16"/>
  </w:num>
  <w:num w:numId="56">
    <w:abstractNumId w:val="16"/>
  </w:num>
</w:numbering>
</file>

<file path=word/settings.xml><?xml version="1.0" encoding="utf-8"?>
<w:settings xmlns:w="http://schemas.openxmlformats.org/wordprocessingml/2006/main">
  <w:zoom w:percent="130"/>
  <w:embedSystemFonts/>
  <w:defaultTabStop w:val="720"/>
  <w:autoHyphenation w:val="true"/>
  <w:footnotePr>
    <w:numFmt w:val="chicago"/>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9665e"/>
    <w:pPr>
      <w:widowControl/>
      <w:suppressAutoHyphens w:val="false"/>
      <w:bidi w:val="0"/>
      <w:spacing w:before="0" w:after="0"/>
      <w:jc w:val="left"/>
    </w:pPr>
    <w:rPr>
      <w:rFonts w:ascii="Times New Roman" w:hAnsi="Times New Roman" w:eastAsia="Times New Roman" w:cs="Times New Roman"/>
      <w:color w:val="auto"/>
      <w:kern w:val="0"/>
      <w:sz w:val="28"/>
      <w:szCs w:val="20"/>
      <w:lang w:val="ru-RU" w:eastAsia="ru-RU" w:bidi="ar-SA"/>
    </w:rPr>
  </w:style>
  <w:style w:type="paragraph" w:styleId="1">
    <w:name w:val="Heading 1"/>
    <w:basedOn w:val="Normal"/>
    <w:next w:val="2"/>
    <w:link w:val="11"/>
    <w:qFormat/>
    <w:rsid w:val="00f9665e"/>
    <w:pPr>
      <w:keepNext w:val="true"/>
      <w:numPr>
        <w:ilvl w:val="0"/>
        <w:numId w:val="1"/>
      </w:numPr>
      <w:tabs>
        <w:tab w:val="clear" w:pos="720"/>
        <w:tab w:val="left" w:pos="-3402" w:leader="none"/>
      </w:tabs>
      <w:spacing w:before="240" w:after="240"/>
      <w:jc w:val="both"/>
      <w:outlineLvl w:val="0"/>
    </w:pPr>
    <w:rPr>
      <w:b/>
      <w:sz w:val="32"/>
    </w:rPr>
  </w:style>
  <w:style w:type="paragraph" w:styleId="2">
    <w:name w:val="Heading 2"/>
    <w:basedOn w:val="Normal"/>
    <w:link w:val="21"/>
    <w:qFormat/>
    <w:rsid w:val="00f9665e"/>
    <w:pPr>
      <w:numPr>
        <w:ilvl w:val="1"/>
        <w:numId w:val="1"/>
      </w:numPr>
      <w:spacing w:before="120" w:after="120"/>
      <w:jc w:val="both"/>
      <w:outlineLvl w:val="1"/>
    </w:pPr>
    <w:rPr>
      <w:b/>
      <w:bCs/>
      <w:szCs w:val="24"/>
    </w:rPr>
  </w:style>
  <w:style w:type="paragraph" w:styleId="3">
    <w:name w:val="Heading 3"/>
    <w:basedOn w:val="Normal"/>
    <w:qFormat/>
    <w:rsid w:val="00f9665e"/>
    <w:pPr>
      <w:widowControl w:val="false"/>
      <w:numPr>
        <w:ilvl w:val="2"/>
        <w:numId w:val="1"/>
      </w:numPr>
      <w:suppressAutoHyphens w:val="true"/>
      <w:spacing w:before="120" w:after="120"/>
      <w:jc w:val="both"/>
      <w:outlineLvl w:val="2"/>
    </w:pPr>
    <w:rPr>
      <w:rFonts w:eastAsia="" w:cs="" w:cstheme="majorBidi" w:eastAsiaTheme="majorEastAsia"/>
      <w:color w:val="000000" w:themeColor="text1"/>
    </w:rPr>
  </w:style>
  <w:style w:type="paragraph" w:styleId="4">
    <w:name w:val="Heading 4"/>
    <w:basedOn w:val="Normal"/>
    <w:next w:val="Normal"/>
    <w:qFormat/>
    <w:rsid w:val="00f9665e"/>
    <w:pPr>
      <w:keepNext w:val="true"/>
      <w:numPr>
        <w:ilvl w:val="3"/>
        <w:numId w:val="1"/>
      </w:numPr>
      <w:jc w:val="both"/>
      <w:outlineLvl w:val="3"/>
    </w:pPr>
    <w:rPr/>
  </w:style>
  <w:style w:type="paragraph" w:styleId="5">
    <w:name w:val="Heading 5"/>
    <w:basedOn w:val="Normal"/>
    <w:next w:val="Normal"/>
    <w:qFormat/>
    <w:rsid w:val="00f9665e"/>
    <w:pPr>
      <w:keepNext w:val="true"/>
      <w:numPr>
        <w:ilvl w:val="4"/>
        <w:numId w:val="1"/>
      </w:numPr>
      <w:jc w:val="center"/>
      <w:outlineLvl w:val="4"/>
    </w:pPr>
    <w:rPr>
      <w:b/>
    </w:rPr>
  </w:style>
  <w:style w:type="paragraph" w:styleId="6">
    <w:name w:val="Heading 6"/>
    <w:basedOn w:val="Normal"/>
    <w:next w:val="Normal"/>
    <w:qFormat/>
    <w:rsid w:val="00f9665e"/>
    <w:pPr>
      <w:keepNext w:val="true"/>
      <w:numPr>
        <w:ilvl w:val="5"/>
        <w:numId w:val="1"/>
      </w:numPr>
      <w:tabs>
        <w:tab w:val="clear" w:pos="720"/>
        <w:tab w:val="left" w:pos="6804" w:leader="none"/>
      </w:tabs>
      <w:outlineLvl w:val="5"/>
    </w:pPr>
    <w:rPr>
      <w:b/>
    </w:rPr>
  </w:style>
  <w:style w:type="paragraph" w:styleId="7">
    <w:name w:val="Heading 7"/>
    <w:basedOn w:val="Normal"/>
    <w:next w:val="Normal"/>
    <w:qFormat/>
    <w:rsid w:val="00f9665e"/>
    <w:pPr>
      <w:keepNext w:val="true"/>
      <w:numPr>
        <w:ilvl w:val="6"/>
        <w:numId w:val="1"/>
      </w:numPr>
      <w:tabs>
        <w:tab w:val="clear" w:pos="720"/>
        <w:tab w:val="left" w:pos="8505" w:leader="none"/>
      </w:tabs>
      <w:spacing w:before="240" w:after="240"/>
      <w:jc w:val="center"/>
      <w:outlineLvl w:val="6"/>
    </w:pPr>
    <w:rPr>
      <w:b/>
      <w:caps/>
    </w:rPr>
  </w:style>
  <w:style w:type="paragraph" w:styleId="8">
    <w:name w:val="Heading 8"/>
    <w:basedOn w:val="Normal"/>
    <w:next w:val="Normal"/>
    <w:qFormat/>
    <w:rsid w:val="00f9665e"/>
    <w:pPr>
      <w:keepNext w:val="true"/>
      <w:numPr>
        <w:ilvl w:val="7"/>
        <w:numId w:val="1"/>
      </w:numPr>
      <w:outlineLvl w:val="7"/>
    </w:pPr>
    <w:rPr>
      <w:b/>
    </w:rPr>
  </w:style>
  <w:style w:type="paragraph" w:styleId="9">
    <w:name w:val="Heading 9"/>
    <w:basedOn w:val="Normal"/>
    <w:next w:val="Normal"/>
    <w:qFormat/>
    <w:rsid w:val="00f9665e"/>
    <w:pPr>
      <w:keepNext w:val="true"/>
      <w:numPr>
        <w:ilvl w:val="8"/>
        <w:numId w:val="1"/>
      </w:numPr>
      <w:tabs>
        <w:tab w:val="clear" w:pos="720"/>
        <w:tab w:val="left" w:pos="5670" w:leader="none"/>
      </w:tabs>
      <w:spacing w:lineRule="auto" w:line="360"/>
      <w:outlineLvl w:val="8"/>
    </w:pPr>
    <w:rPr>
      <w:b/>
    </w:rPr>
  </w:style>
  <w:style w:type="character" w:styleId="DefaultParagraphFont" w:default="1">
    <w:name w:val="Default Paragraph Font"/>
    <w:uiPriority w:val="1"/>
    <w:semiHidden/>
    <w:unhideWhenUsed/>
    <w:qFormat/>
    <w:rPr/>
  </w:style>
  <w:style w:type="character" w:styleId="Style5" w:customStyle="1">
    <w:name w:val="Текст примечания Знак"/>
    <w:basedOn w:val="DefaultParagraphFont"/>
    <w:link w:val="Annotationtext"/>
    <w:qFormat/>
    <w:rsid w:val="00f9665e"/>
    <w:rPr/>
  </w:style>
  <w:style w:type="character" w:styleId="Style6" w:customStyle="1">
    <w:name w:val="Тема примечания Знак"/>
    <w:basedOn w:val="Style5"/>
    <w:link w:val="Annotationsubject"/>
    <w:qFormat/>
    <w:rsid w:val="00f9665e"/>
    <w:rPr>
      <w:b/>
      <w:i/>
      <w:color w:val="7030A0"/>
      <w:sz w:val="22"/>
    </w:rPr>
  </w:style>
  <w:style w:type="character" w:styleId="Style7">
    <w:name w:val="Интернет-ссылка"/>
    <w:uiPriority w:val="99"/>
    <w:rsid w:val="00f9665e"/>
    <w:rPr>
      <w:color w:val="0000FF"/>
      <w:u w:val="single"/>
    </w:rPr>
  </w:style>
  <w:style w:type="character" w:styleId="Style8" w:customStyle="1">
    <w:name w:val="Текст сноски Знак"/>
    <w:qFormat/>
    <w:rsid w:val="00f9665e"/>
    <w:rPr>
      <w:szCs w:val="24"/>
    </w:rPr>
  </w:style>
  <w:style w:type="character" w:styleId="Style9" w:customStyle="1">
    <w:name w:val="Список-тире Знак Знак"/>
    <w:link w:val="Style29"/>
    <w:qFormat/>
    <w:rsid w:val="00f9665e"/>
    <w:rPr>
      <w:sz w:val="28"/>
      <w:szCs w:val="28"/>
    </w:rPr>
  </w:style>
  <w:style w:type="character" w:styleId="Style10" w:customStyle="1">
    <w:name w:val="Табл_спис Знак"/>
    <w:link w:val="Style31"/>
    <w:qFormat/>
    <w:rsid w:val="00f9665e"/>
    <w:rPr>
      <w:sz w:val="28"/>
    </w:rPr>
  </w:style>
  <w:style w:type="character" w:styleId="Style11" w:customStyle="1">
    <w:name w:val="Верхний колонтитул Знак"/>
    <w:basedOn w:val="DefaultParagraphFont"/>
    <w:qFormat/>
    <w:rsid w:val="00f9665e"/>
    <w:rPr>
      <w:sz w:val="28"/>
    </w:rPr>
  </w:style>
  <w:style w:type="character" w:styleId="11" w:customStyle="1">
    <w:name w:val="Заголовок 1 Знак"/>
    <w:basedOn w:val="DefaultParagraphFont"/>
    <w:qFormat/>
    <w:rsid w:val="00f9665e"/>
    <w:rPr>
      <w:b/>
      <w:sz w:val="32"/>
    </w:rPr>
  </w:style>
  <w:style w:type="character" w:styleId="21" w:customStyle="1">
    <w:name w:val="Заголовок 2 Знак"/>
    <w:basedOn w:val="DefaultParagraphFont"/>
    <w:qFormat/>
    <w:rsid w:val="00f9665e"/>
    <w:rPr>
      <w:b/>
      <w:bCs/>
      <w:sz w:val="28"/>
      <w:szCs w:val="24"/>
    </w:rPr>
  </w:style>
  <w:style w:type="character" w:styleId="Style12" w:customStyle="1">
    <w:name w:val="Список-номер Знак"/>
    <w:basedOn w:val="DefaultParagraphFont"/>
    <w:link w:val="Style34"/>
    <w:qFormat/>
    <w:rsid w:val="00f9665e"/>
    <w:rPr>
      <w:color w:val="000000" w:themeColor="text1"/>
      <w:sz w:val="28"/>
      <w:szCs w:val="28"/>
    </w:rPr>
  </w:style>
  <w:style w:type="character" w:styleId="PlaceholderText">
    <w:name w:val="Placeholder Text"/>
    <w:basedOn w:val="DefaultParagraphFont"/>
    <w:uiPriority w:val="99"/>
    <w:unhideWhenUsed/>
    <w:qFormat/>
    <w:rsid w:val="00f9665e"/>
    <w:rPr>
      <w:color w:val="808080"/>
    </w:rPr>
  </w:style>
  <w:style w:type="character" w:styleId="58" w:customStyle="1">
    <w:name w:val="Основной текст + 58"/>
    <w:basedOn w:val="DefaultParagraphFont"/>
    <w:uiPriority w:val="99"/>
    <w:qFormat/>
    <w:rsid w:val="00fe3b8a"/>
    <w:rPr>
      <w:rFonts w:ascii="Times New Roman" w:hAnsi="Times New Roman" w:cs="Times New Roman"/>
      <w:spacing w:val="0"/>
      <w:sz w:val="117"/>
      <w:szCs w:val="117"/>
    </w:rPr>
  </w:style>
  <w:style w:type="character" w:styleId="3571" w:customStyle="1">
    <w:name w:val="Основной текст (3) + 571"/>
    <w:basedOn w:val="DefaultParagraphFont"/>
    <w:uiPriority w:val="99"/>
    <w:qFormat/>
    <w:rsid w:val="00fe3b8a"/>
    <w:rPr>
      <w:rFonts w:ascii="Times New Roman" w:hAnsi="Times New Roman" w:cs="Times New Roman"/>
      <w:b/>
      <w:bCs/>
      <w:spacing w:val="0"/>
      <w:sz w:val="115"/>
      <w:szCs w:val="115"/>
    </w:rPr>
  </w:style>
  <w:style w:type="character" w:styleId="Annotationreference">
    <w:name w:val="annotation reference"/>
    <w:basedOn w:val="DefaultParagraphFont"/>
    <w:semiHidden/>
    <w:unhideWhenUsed/>
    <w:qFormat/>
    <w:rsid w:val="006a6303"/>
    <w:rPr>
      <w:sz w:val="16"/>
      <w:szCs w:val="16"/>
    </w:rPr>
  </w:style>
  <w:style w:type="character" w:styleId="Style13" w:customStyle="1">
    <w:name w:val="Текст выноски Знак"/>
    <w:basedOn w:val="DefaultParagraphFont"/>
    <w:link w:val="BalloonText"/>
    <w:semiHidden/>
    <w:qFormat/>
    <w:rsid w:val="006a6303"/>
    <w:rPr>
      <w:rFonts w:ascii="Segoe UI" w:hAnsi="Segoe UI" w:cs="Segoe UI"/>
      <w:sz w:val="18"/>
      <w:szCs w:val="18"/>
    </w:rPr>
  </w:style>
  <w:style w:type="character" w:styleId="Datapost" w:customStyle="1">
    <w:name w:val="data_post"/>
    <w:basedOn w:val="DefaultParagraphFont"/>
    <w:qFormat/>
    <w:rsid w:val="00b41d0d"/>
    <w:rPr/>
  </w:style>
  <w:style w:type="character" w:styleId="Grayd" w:customStyle="1">
    <w:name w:val="grayd"/>
    <w:basedOn w:val="DefaultParagraphFont"/>
    <w:qFormat/>
    <w:rsid w:val="00b41d0d"/>
    <w:rPr/>
  </w:style>
  <w:style w:type="character" w:styleId="Views" w:customStyle="1">
    <w:name w:val="views"/>
    <w:basedOn w:val="DefaultParagraphFont"/>
    <w:qFormat/>
    <w:rsid w:val="00b41d0d"/>
    <w:rPr/>
  </w:style>
  <w:style w:type="character" w:styleId="Dzenspan" w:customStyle="1">
    <w:name w:val="dzen_span"/>
    <w:basedOn w:val="DefaultParagraphFont"/>
    <w:qFormat/>
    <w:rsid w:val="00b41d0d"/>
    <w:rPr/>
  </w:style>
  <w:style w:type="character" w:styleId="Tooltipsall" w:customStyle="1">
    <w:name w:val="tooltipsall"/>
    <w:basedOn w:val="DefaultParagraphFont"/>
    <w:qFormat/>
    <w:rsid w:val="001a546f"/>
    <w:rPr/>
  </w:style>
  <w:style w:type="character" w:styleId="Style14" w:customStyle="1">
    <w:name w:val="Символ сноски"/>
    <w:qFormat/>
    <w:rPr>
      <w:vertAlign w:val="superscript"/>
    </w:rPr>
  </w:style>
  <w:style w:type="character" w:styleId="Style15">
    <w:name w:val="Привязка сноски"/>
    <w:rPr>
      <w:vertAlign w:val="superscript"/>
    </w:rPr>
  </w:style>
  <w:style w:type="character" w:styleId="FootnoteCharacters" w:customStyle="1">
    <w:name w:val="Footnote Characters"/>
    <w:basedOn w:val="DefaultParagraphFont"/>
    <w:semiHidden/>
    <w:unhideWhenUsed/>
    <w:qFormat/>
    <w:rsid w:val="00493e94"/>
    <w:rPr>
      <w:vertAlign w:val="superscript"/>
    </w:rPr>
  </w:style>
  <w:style w:type="character" w:styleId="Style16" w:customStyle="1">
    <w:name w:val="Ссылка указателя"/>
    <w:qFormat/>
    <w:rPr/>
  </w:style>
  <w:style w:type="character" w:styleId="Style17" w:customStyle="1">
    <w:name w:val="Символ концевой сноски"/>
    <w:qFormat/>
    <w:rPr>
      <w:vertAlign w:val="superscript"/>
    </w:rPr>
  </w:style>
  <w:style w:type="character" w:styleId="Style18">
    <w:name w:val="Привязка концевой сноски"/>
    <w:rPr>
      <w:vertAlign w:val="superscript"/>
    </w:rPr>
  </w:style>
  <w:style w:type="character" w:styleId="EndnoteCharacters">
    <w:name w:val="Endnote Characters"/>
    <w:qFormat/>
    <w:rPr>
      <w:vertAlign w:val="superscript"/>
    </w:rPr>
  </w:style>
  <w:style w:type="character" w:styleId="Style19" w:customStyle="1">
    <w:name w:val="Основной текст Знак"/>
    <w:basedOn w:val="DefaultParagraphFont"/>
    <w:qFormat/>
    <w:rsid w:val="00e14b5b"/>
    <w:rPr>
      <w:sz w:val="28"/>
    </w:rPr>
  </w:style>
  <w:style w:type="character" w:styleId="Style20" w:customStyle="1">
    <w:name w:val="Нижний колонтитул Знак"/>
    <w:basedOn w:val="DefaultParagraphFont"/>
    <w:uiPriority w:val="99"/>
    <w:qFormat/>
    <w:rsid w:val="00e14b5b"/>
    <w:rPr>
      <w:sz w:val="28"/>
    </w:rPr>
  </w:style>
  <w:style w:type="character" w:styleId="Linenumber1" w:customStyle="1">
    <w:name w:val="line number1"/>
    <w:qFormat/>
    <w:rPr/>
  </w:style>
  <w:style w:type="character" w:styleId="Linenumber">
    <w:name w:val="line number"/>
    <w:qFormat/>
    <w:rPr/>
  </w:style>
  <w:style w:type="paragraph" w:styleId="Style21">
    <w:name w:val="Заголовок"/>
    <w:basedOn w:val="Normal"/>
    <w:next w:val="Style22"/>
    <w:qFormat/>
    <w:pPr>
      <w:keepNext w:val="true"/>
      <w:spacing w:before="240" w:after="120"/>
    </w:pPr>
    <w:rPr>
      <w:rFonts w:ascii="Liberation Sans" w:hAnsi="Liberation Sans" w:eastAsia="Tahoma" w:cs="Noto Sans Devanagari"/>
      <w:sz w:val="28"/>
      <w:szCs w:val="28"/>
    </w:rPr>
  </w:style>
  <w:style w:type="paragraph" w:styleId="Style22">
    <w:name w:val="Body Text"/>
    <w:basedOn w:val="Normal"/>
    <w:link w:val="Style19"/>
    <w:pPr>
      <w:spacing w:lineRule="auto" w:line="276" w:before="0" w:after="140"/>
    </w:pPr>
    <w:rPr/>
  </w:style>
  <w:style w:type="paragraph" w:styleId="Style23">
    <w:name w:val="List"/>
    <w:basedOn w:val="Style22"/>
    <w:pPr/>
    <w:rPr>
      <w:rFonts w:cs="Noto Sans Devanagari"/>
    </w:rPr>
  </w:style>
  <w:style w:type="paragraph" w:styleId="Style24">
    <w:name w:val="Caption"/>
    <w:basedOn w:val="Normal"/>
    <w:qFormat/>
    <w:pPr>
      <w:suppressLineNumbers/>
      <w:spacing w:before="120" w:after="120"/>
    </w:pPr>
    <w:rPr>
      <w:rFonts w:cs="Noto Sans Devanagari"/>
      <w:i/>
      <w:iCs/>
      <w:sz w:val="24"/>
      <w:szCs w:val="24"/>
    </w:rPr>
  </w:style>
  <w:style w:type="paragraph" w:styleId="Style25">
    <w:name w:val="Указатель"/>
    <w:basedOn w:val="Normal"/>
    <w:qFormat/>
    <w:pPr>
      <w:suppressLineNumbers/>
    </w:pPr>
    <w:rPr>
      <w:rFonts w:cs="Noto Sans Devanagari"/>
      <w:lang w:val="zxx" w:eastAsia="zxx" w:bidi="zxx"/>
    </w:rPr>
  </w:style>
  <w:style w:type="paragraph" w:styleId="Style26">
    <w:name w:val="Title"/>
    <w:basedOn w:val="Normal"/>
    <w:next w:val="Style22"/>
    <w:qFormat/>
    <w:pPr>
      <w:keepNext w:val="true"/>
      <w:spacing w:before="240" w:after="120"/>
    </w:pPr>
    <w:rPr>
      <w:rFonts w:ascii="Liberation Sans" w:hAnsi="Liberation Sans" w:eastAsia="Tahoma" w:cs="Noto Sans Devanagari"/>
      <w:szCs w:val="28"/>
    </w:rPr>
  </w:style>
  <w:style w:type="paragraph" w:styleId="Caption">
    <w:name w:val="caption"/>
    <w:basedOn w:val="Normal"/>
    <w:next w:val="Normal"/>
    <w:uiPriority w:val="35"/>
    <w:unhideWhenUsed/>
    <w:qFormat/>
    <w:rsid w:val="00f9665e"/>
    <w:pPr>
      <w:spacing w:before="120" w:after="120"/>
      <w:jc w:val="center"/>
    </w:pPr>
    <w:rPr>
      <w:iCs/>
      <w:szCs w:val="24"/>
    </w:rPr>
  </w:style>
  <w:style w:type="paragraph" w:styleId="Indexheading">
    <w:name w:val="index heading"/>
    <w:basedOn w:val="Normal"/>
    <w:qFormat/>
    <w:pPr>
      <w:suppressLineNumbers/>
    </w:pPr>
    <w:rPr>
      <w:rFonts w:cs="Noto Sans Devanagari"/>
    </w:rPr>
  </w:style>
  <w:style w:type="paragraph" w:styleId="111" w:customStyle="1">
    <w:name w:val="Заголовок 11"/>
    <w:basedOn w:val="Style29"/>
    <w:next w:val="2"/>
    <w:qFormat/>
    <w:rsid w:val="00e14b5b"/>
    <w:pPr/>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next w:val="Normal"/>
    <w:uiPriority w:val="35"/>
    <w:unhideWhenUsed/>
    <w:qFormat/>
    <w:rsid w:val="00e14b5b"/>
    <w:pPr>
      <w:spacing w:before="120" w:after="120"/>
      <w:jc w:val="center"/>
    </w:pPr>
    <w:rPr>
      <w:iCs/>
      <w:szCs w:val="24"/>
    </w:rPr>
  </w:style>
  <w:style w:type="paragraph" w:styleId="Annotationtext">
    <w:name w:val="annotation text"/>
    <w:basedOn w:val="Normal"/>
    <w:link w:val="Style5"/>
    <w:qFormat/>
    <w:rsid w:val="00f9665e"/>
    <w:pPr>
      <w:jc w:val="both"/>
    </w:pPr>
    <w:rPr>
      <w:sz w:val="20"/>
    </w:rPr>
  </w:style>
  <w:style w:type="paragraph" w:styleId="12">
    <w:name w:val="TOC 1"/>
    <w:basedOn w:val="Normal"/>
    <w:next w:val="Normal"/>
    <w:autoRedefine/>
    <w:uiPriority w:val="39"/>
    <w:rsid w:val="00f9665e"/>
    <w:pPr>
      <w:tabs>
        <w:tab w:val="clear" w:pos="720"/>
        <w:tab w:val="left" w:pos="425" w:leader="none"/>
        <w:tab w:val="right" w:pos="9639" w:leader="dot"/>
      </w:tabs>
      <w:spacing w:before="0" w:after="120"/>
      <w:ind w:left="425" w:hanging="425"/>
    </w:pPr>
    <w:rPr>
      <w:bCs/>
    </w:rPr>
  </w:style>
  <w:style w:type="paragraph" w:styleId="Annotationsubject">
    <w:name w:val="annotation subject"/>
    <w:basedOn w:val="Normal"/>
    <w:next w:val="Annotationtext"/>
    <w:link w:val="Style6"/>
    <w:qFormat/>
    <w:rsid w:val="00f9665e"/>
    <w:pPr>
      <w:spacing w:before="120" w:after="120"/>
      <w:jc w:val="both"/>
    </w:pPr>
    <w:rPr>
      <w:b/>
      <w:i/>
      <w:color w:val="7030A0"/>
      <w:sz w:val="22"/>
    </w:rPr>
  </w:style>
  <w:style w:type="paragraph" w:styleId="Style27" w:customStyle="1">
    <w:name w:val="Колонтитул"/>
    <w:basedOn w:val="Normal"/>
    <w:qFormat/>
    <w:pPr/>
    <w:rPr/>
  </w:style>
  <w:style w:type="paragraph" w:styleId="Style28">
    <w:name w:val="Header"/>
    <w:basedOn w:val="Normal"/>
    <w:link w:val="Style11"/>
    <w:rsid w:val="00f9665e"/>
    <w:pPr>
      <w:tabs>
        <w:tab w:val="clear" w:pos="720"/>
        <w:tab w:val="center" w:pos="4677" w:leader="none"/>
        <w:tab w:val="right" w:pos="9355" w:leader="none"/>
      </w:tabs>
    </w:pPr>
    <w:rPr/>
  </w:style>
  <w:style w:type="paragraph" w:styleId="Style29" w:customStyle="1">
    <w:name w:val="Список-тире"/>
    <w:basedOn w:val="Normal"/>
    <w:link w:val="Style9"/>
    <w:qFormat/>
    <w:rsid w:val="00f9665e"/>
    <w:pPr>
      <w:numPr>
        <w:ilvl w:val="0"/>
        <w:numId w:val="31"/>
      </w:numPr>
      <w:tabs>
        <w:tab w:val="clear" w:pos="720"/>
        <w:tab w:val="left" w:pos="993" w:leader="none"/>
      </w:tabs>
      <w:spacing w:before="0" w:after="60"/>
      <w:jc w:val="both"/>
    </w:pPr>
    <w:rPr>
      <w:szCs w:val="28"/>
    </w:rPr>
  </w:style>
  <w:style w:type="paragraph" w:styleId="Style30">
    <w:name w:val="Footnote Text"/>
    <w:basedOn w:val="Normal"/>
    <w:link w:val="Style8"/>
    <w:rsid w:val="00f9665e"/>
    <w:pPr/>
    <w:rPr>
      <w:sz w:val="20"/>
      <w:szCs w:val="24"/>
    </w:rPr>
  </w:style>
  <w:style w:type="paragraph" w:styleId="Style31" w:customStyle="1">
    <w:name w:val="Табл_спис"/>
    <w:basedOn w:val="Normal"/>
    <w:link w:val="Style10"/>
    <w:qFormat/>
    <w:rsid w:val="00f9665e"/>
    <w:pPr>
      <w:numPr>
        <w:ilvl w:val="1"/>
        <w:numId w:val="35"/>
      </w:numPr>
      <w:jc w:val="both"/>
    </w:pPr>
    <w:rPr/>
  </w:style>
  <w:style w:type="paragraph" w:styleId="ListParagraph">
    <w:name w:val="List Paragraph"/>
    <w:basedOn w:val="Normal"/>
    <w:uiPriority w:val="99"/>
    <w:qFormat/>
    <w:rsid w:val="00f9665e"/>
    <w:pPr>
      <w:spacing w:lineRule="auto" w:line="259" w:before="0" w:after="160"/>
      <w:ind w:left="720" w:hanging="0"/>
      <w:contextualSpacing/>
    </w:pPr>
    <w:rPr>
      <w:rFonts w:ascii="Calibri" w:hAnsi="Calibri" w:eastAsia="Calibri" w:cs="" w:asciiTheme="minorHAnsi" w:cstheme="minorBidi" w:eastAsiaTheme="minorHAnsi" w:hAnsiTheme="minorHAnsi"/>
      <w:sz w:val="22"/>
      <w:szCs w:val="22"/>
      <w:lang w:eastAsia="en-US"/>
    </w:rPr>
  </w:style>
  <w:style w:type="paragraph" w:styleId="22" w:customStyle="1">
    <w:name w:val="Заголовок 2 - текст"/>
    <w:basedOn w:val="2"/>
    <w:qFormat/>
    <w:rsid w:val="00f9665e"/>
    <w:pPr>
      <w:numPr>
        <w:ilvl w:val="0"/>
        <w:numId w:val="0"/>
      </w:numPr>
    </w:pPr>
    <w:rPr>
      <w:b w:val="false"/>
    </w:rPr>
  </w:style>
  <w:style w:type="paragraph" w:styleId="41">
    <w:name w:val="TOC 4"/>
    <w:basedOn w:val="Normal"/>
    <w:next w:val="Normal"/>
    <w:autoRedefine/>
    <w:uiPriority w:val="39"/>
    <w:unhideWhenUsed/>
    <w:rsid w:val="00f9665e"/>
    <w:pPr>
      <w:numPr>
        <w:ilvl w:val="0"/>
        <w:numId w:val="30"/>
      </w:numPr>
      <w:tabs>
        <w:tab w:val="clear" w:pos="720"/>
        <w:tab w:val="left" w:pos="2381" w:leader="none"/>
        <w:tab w:val="right" w:pos="9639" w:leader="dot"/>
      </w:tabs>
      <w:spacing w:before="0" w:after="120"/>
      <w:ind w:right="-1" w:hanging="0"/>
    </w:pPr>
    <w:rPr/>
  </w:style>
  <w:style w:type="paragraph" w:styleId="23">
    <w:name w:val="TOC 2"/>
    <w:basedOn w:val="Normal"/>
    <w:next w:val="Normal"/>
    <w:autoRedefine/>
    <w:uiPriority w:val="39"/>
    <w:unhideWhenUsed/>
    <w:rsid w:val="00f9665e"/>
    <w:pPr>
      <w:tabs>
        <w:tab w:val="clear" w:pos="720"/>
        <w:tab w:val="left" w:pos="992" w:leader="none"/>
        <w:tab w:val="right" w:pos="9639" w:leader="dot"/>
      </w:tabs>
      <w:spacing w:before="0" w:after="120"/>
      <w:ind w:left="992" w:hanging="567"/>
    </w:pPr>
    <w:rPr/>
  </w:style>
  <w:style w:type="paragraph" w:styleId="31">
    <w:name w:val="TOC 3"/>
    <w:basedOn w:val="Normal"/>
    <w:next w:val="Normal"/>
    <w:autoRedefine/>
    <w:uiPriority w:val="39"/>
    <w:unhideWhenUsed/>
    <w:rsid w:val="00f9665e"/>
    <w:pPr>
      <w:tabs>
        <w:tab w:val="clear" w:pos="720"/>
        <w:tab w:val="left" w:pos="1418" w:leader="none"/>
        <w:tab w:val="right" w:pos="9526" w:leader="dot"/>
      </w:tabs>
      <w:spacing w:before="0" w:after="120"/>
      <w:ind w:left="567" w:hanging="0"/>
    </w:pPr>
    <w:rPr/>
  </w:style>
  <w:style w:type="paragraph" w:styleId="13" w:customStyle="1">
    <w:name w:val="Прощание1"/>
    <w:basedOn w:val="Caption11"/>
    <w:qFormat/>
    <w:rsid w:val="00d82d82"/>
    <w:pPr>
      <w:jc w:val="right"/>
    </w:pPr>
    <w:rPr>
      <w:b/>
    </w:rPr>
  </w:style>
  <w:style w:type="paragraph" w:styleId="Style32" w:customStyle="1">
    <w:name w:val="Наименование приложения"/>
    <w:basedOn w:val="Style33"/>
    <w:qFormat/>
    <w:rsid w:val="00f9665e"/>
    <w:pPr>
      <w:jc w:val="center"/>
    </w:pPr>
    <w:rPr>
      <w:sz w:val="32"/>
      <w:u w:val="none" w:color="FFFFFF"/>
    </w:rPr>
  </w:style>
  <w:style w:type="paragraph" w:styleId="Style33" w:customStyle="1">
    <w:name w:val="Closing"/>
    <w:basedOn w:val="Caption"/>
    <w:qFormat/>
    <w:rsid w:val="00f9665e"/>
    <w:pPr>
      <w:jc w:val="right"/>
    </w:pPr>
    <w:rPr>
      <w:b/>
    </w:rPr>
  </w:style>
  <w:style w:type="paragraph" w:styleId="24" w:customStyle="1">
    <w:name w:val="Прощание2"/>
    <w:basedOn w:val="Caption11"/>
    <w:qFormat/>
    <w:rsid w:val="00e14b5b"/>
    <w:pPr>
      <w:jc w:val="right"/>
    </w:pPr>
    <w:rPr>
      <w:b/>
    </w:rPr>
  </w:style>
  <w:style w:type="paragraph" w:styleId="14" w:customStyle="1">
    <w:name w:val="Список номер 1."/>
    <w:basedOn w:val="Style29"/>
    <w:qFormat/>
    <w:rsid w:val="00f9665e"/>
    <w:pPr>
      <w:numPr>
        <w:ilvl w:val="0"/>
        <w:numId w:val="32"/>
      </w:numPr>
    </w:pPr>
    <w:rPr/>
  </w:style>
  <w:style w:type="paragraph" w:styleId="Style34" w:customStyle="1">
    <w:name w:val="Список-номер"/>
    <w:basedOn w:val="Normal"/>
    <w:link w:val="Style12"/>
    <w:qFormat/>
    <w:rsid w:val="00f9665e"/>
    <w:pPr>
      <w:numPr>
        <w:ilvl w:val="0"/>
        <w:numId w:val="33"/>
      </w:numPr>
      <w:spacing w:before="0" w:after="0"/>
      <w:contextualSpacing/>
    </w:pPr>
    <w:rPr>
      <w:color w:val="000000" w:themeColor="text1"/>
      <w:szCs w:val="28"/>
    </w:rPr>
  </w:style>
  <w:style w:type="paragraph" w:styleId="Style35" w:customStyle="1">
    <w:name w:val="Список-точка"/>
    <w:basedOn w:val="ListParagraph"/>
    <w:qFormat/>
    <w:rsid w:val="00f9665e"/>
    <w:pPr>
      <w:numPr>
        <w:ilvl w:val="0"/>
        <w:numId w:val="34"/>
      </w:numPr>
      <w:spacing w:lineRule="auto" w:line="240" w:before="0" w:after="60"/>
      <w:contextualSpacing/>
      <w:jc w:val="both"/>
      <w:outlineLvl w:val="1"/>
    </w:pPr>
    <w:rPr>
      <w:rFonts w:ascii="Times New Roman" w:hAnsi="Times New Roman" w:eastAsia="Times New Roman" w:cs="Times New Roman"/>
      <w:sz w:val="28"/>
      <w:szCs w:val="28"/>
      <w:lang w:eastAsia="ru-RU"/>
    </w:rPr>
  </w:style>
  <w:style w:type="paragraph" w:styleId="Style36" w:customStyle="1">
    <w:name w:val="Основной"/>
    <w:basedOn w:val="Normal"/>
    <w:qFormat/>
    <w:rsid w:val="00f9665e"/>
    <w:pPr>
      <w:tabs>
        <w:tab w:val="clear" w:pos="720"/>
        <w:tab w:val="left" w:pos="709" w:leader="none"/>
      </w:tabs>
      <w:ind w:left="709" w:hanging="0"/>
      <w:jc w:val="both"/>
    </w:pPr>
    <w:rPr/>
  </w:style>
  <w:style w:type="paragraph" w:styleId="Style37" w:customStyle="1">
    <w:name w:val="Наименование таблицы"/>
    <w:basedOn w:val="Caption"/>
    <w:qFormat/>
    <w:rsid w:val="00f9665e"/>
    <w:pPr>
      <w:jc w:val="left"/>
    </w:pPr>
    <w:rPr/>
  </w:style>
  <w:style w:type="paragraph" w:styleId="Style38" w:customStyle="1">
    <w:name w:val="Список_тема"/>
    <w:basedOn w:val="ListParagraph"/>
    <w:qFormat/>
    <w:rsid w:val="002c7b19"/>
    <w:pPr>
      <w:tabs>
        <w:tab w:val="clear" w:pos="720"/>
        <w:tab w:val="left" w:pos="1701" w:leader="none"/>
      </w:tabs>
      <w:spacing w:lineRule="auto" w:line="240" w:before="0" w:after="0"/>
      <w:ind w:left="227" w:firstLine="357"/>
      <w:contextualSpacing/>
    </w:pPr>
    <w:rPr>
      <w:rFonts w:ascii="Times New Roman" w:hAnsi="Times New Roman" w:eastAsia="Times New Roman" w:cs="Times New Roman"/>
      <w:sz w:val="28"/>
      <w:szCs w:val="20"/>
      <w:lang w:eastAsia="ru-RU"/>
    </w:rPr>
  </w:style>
  <w:style w:type="paragraph" w:styleId="Formattext" w:customStyle="1">
    <w:name w:val="formattext"/>
    <w:basedOn w:val="Normal"/>
    <w:qFormat/>
    <w:rsid w:val="002f0559"/>
    <w:pPr>
      <w:spacing w:beforeAutospacing="1" w:afterAutospacing="1"/>
    </w:pPr>
    <w:rPr>
      <w:sz w:val="24"/>
      <w:szCs w:val="24"/>
    </w:rPr>
  </w:style>
  <w:style w:type="paragraph" w:styleId="NormalWeb">
    <w:name w:val="Normal (Web)"/>
    <w:basedOn w:val="Normal"/>
    <w:uiPriority w:val="99"/>
    <w:unhideWhenUsed/>
    <w:qFormat/>
    <w:rsid w:val="00920d9c"/>
    <w:pPr>
      <w:spacing w:beforeAutospacing="1" w:afterAutospacing="1"/>
    </w:pPr>
    <w:rPr>
      <w:sz w:val="24"/>
      <w:szCs w:val="24"/>
    </w:rPr>
  </w:style>
  <w:style w:type="paragraph" w:styleId="BalloonText">
    <w:name w:val="Balloon Text"/>
    <w:basedOn w:val="Normal"/>
    <w:link w:val="Style13"/>
    <w:semiHidden/>
    <w:unhideWhenUsed/>
    <w:qFormat/>
    <w:rsid w:val="006a6303"/>
    <w:pPr/>
    <w:rPr>
      <w:rFonts w:ascii="Segoe UI" w:hAnsi="Segoe UI" w:cs="Segoe UI"/>
      <w:sz w:val="18"/>
      <w:szCs w:val="18"/>
    </w:rPr>
  </w:style>
  <w:style w:type="paragraph" w:styleId="ConsPlusNormal" w:customStyle="1">
    <w:name w:val="ConsPlusNormal"/>
    <w:qFormat/>
    <w:rsid w:val="008c5d5f"/>
    <w:pPr>
      <w:widowControl w:val="false"/>
      <w:suppressAutoHyphens w:val="true"/>
      <w:bidi w:val="0"/>
      <w:spacing w:before="0" w:after="0"/>
      <w:jc w:val="left"/>
    </w:pPr>
    <w:rPr>
      <w:rFonts w:ascii="Calibri" w:hAnsi="Calibri" w:cs="Calibri" w:eastAsia="Times New Roman"/>
      <w:color w:val="auto"/>
      <w:kern w:val="0"/>
      <w:sz w:val="22"/>
      <w:szCs w:val="20"/>
      <w:lang w:val="ru-RU" w:eastAsia="ru-RU" w:bidi="ar-SA"/>
    </w:rPr>
  </w:style>
  <w:style w:type="paragraph" w:styleId="ConsPlusTitlePage" w:customStyle="1">
    <w:name w:val="ConsPlusTitlePage"/>
    <w:qFormat/>
    <w:rsid w:val="0099192d"/>
    <w:pPr>
      <w:widowControl w:val="false"/>
      <w:suppressAutoHyphens w:val="true"/>
      <w:bidi w:val="0"/>
      <w:spacing w:before="0" w:after="0"/>
      <w:jc w:val="left"/>
    </w:pPr>
    <w:rPr>
      <w:rFonts w:ascii="Tahoma" w:hAnsi="Tahoma" w:cs="Tahoma" w:eastAsia="Times New Roman"/>
      <w:color w:val="auto"/>
      <w:kern w:val="0"/>
      <w:sz w:val="20"/>
      <w:szCs w:val="20"/>
      <w:lang w:val="ru-RU" w:eastAsia="ru-RU" w:bidi="ar-SA"/>
    </w:rPr>
  </w:style>
  <w:style w:type="paragraph" w:styleId="Style39" w:customStyle="1">
    <w:name w:val="Содержимое врезки"/>
    <w:basedOn w:val="Normal"/>
    <w:qFormat/>
    <w:pPr/>
    <w:rPr/>
  </w:style>
  <w:style w:type="paragraph" w:styleId="Style40">
    <w:name w:val="Footer"/>
    <w:basedOn w:val="Style27"/>
    <w:link w:val="Style20"/>
    <w:uiPriority w:val="99"/>
    <w:pPr/>
    <w:rPr/>
  </w:style>
  <w:style w:type="paragraph" w:styleId="Style41" w:customStyle="1">
    <w:name w:val="Содержимое таблицы"/>
    <w:basedOn w:val="Normal"/>
    <w:qFormat/>
    <w:pPr>
      <w:widowControl w:val="false"/>
      <w:suppressLineNumbers/>
    </w:pPr>
    <w:rPr/>
  </w:style>
  <w:style w:type="paragraph" w:styleId="Style42" w:customStyle="1">
    <w:name w:val="Заголовок таблицы"/>
    <w:basedOn w:val="Style41"/>
    <w:qFormat/>
    <w:pPr>
      <w:jc w:val="center"/>
    </w:pPr>
    <w:rPr>
      <w:b/>
      <w:bCs/>
    </w:rPr>
  </w:style>
  <w:style w:type="paragraph" w:styleId="51">
    <w:name w:val="TOC 5"/>
    <w:basedOn w:val="Indexheading"/>
    <w:pPr/>
    <w:rPr/>
  </w:style>
  <w:style w:type="paragraph" w:styleId="61">
    <w:name w:val="TOC 6"/>
    <w:basedOn w:val="Indexheading"/>
    <w:pPr/>
    <w:rPr/>
  </w:style>
  <w:style w:type="paragraph" w:styleId="71">
    <w:name w:val="TOC 7"/>
    <w:basedOn w:val="Indexheading"/>
    <w:pPr/>
    <w:rPr/>
  </w:style>
  <w:style w:type="paragraph" w:styleId="81">
    <w:name w:val="TOC 8"/>
    <w:basedOn w:val="Indexheading"/>
    <w:pPr/>
    <w:rPr/>
  </w:style>
  <w:style w:type="paragraph" w:styleId="91">
    <w:name w:val="TOC 9"/>
    <w:basedOn w:val="Indexheading"/>
    <w:pPr/>
    <w:rPr/>
  </w:style>
  <w:style w:type="paragraph" w:styleId="10" w:customStyle="1">
    <w:name w:val="Заголовок 10"/>
    <w:basedOn w:val="Style26"/>
    <w:next w:val="Style22"/>
    <w:qFormat/>
    <w:pPr>
      <w:tabs>
        <w:tab w:val="clear" w:pos="720"/>
        <w:tab w:val="left" w:pos="1584" w:leader="none"/>
      </w:tabs>
      <w:spacing w:before="60" w:after="60"/>
      <w:ind w:left="1584" w:hanging="1584"/>
      <w:outlineLvl w:val="8"/>
    </w:pPr>
    <w:rPr>
      <w:b/>
      <w:bCs/>
      <w:sz w:val="18"/>
      <w:szCs w:val="18"/>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b">
    <w:name w:val="Table Grid"/>
    <w:basedOn w:val="a2"/>
    <w:uiPriority w:val="59"/>
    <w:rsid w:val="00f9665e"/>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
    <w:name w:val="TableGrid"/>
    <w:rsid w:val="006350a0"/>
    <w:rPr>
      <w:rFonts w:asciiTheme="minorHAnsi" w:hAnsiTheme="minorHAnsi" w:eastAsiaTheme="minorEastAsia" w:cstheme="minorBidi"/>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yperlink" Target="https://www.consultant.ru/document/cons_doc_LAW_61801/d996966e22e1320c9de1ab82d9f6be12c3d9d765/" TargetMode="External"/><Relationship Id="rId9" Type="http://schemas.openxmlformats.org/officeDocument/2006/relationships/hyperlink" Target="https://docs.cntd.ru/document/902228011" TargetMode="External"/><Relationship Id="rId10" Type="http://schemas.openxmlformats.org/officeDocument/2006/relationships/hyperlink" Target="https://www.consultant.ru/document/cons_doc_LAW_451712/" TargetMode="External"/><Relationship Id="rId11" Type="http://schemas.openxmlformats.org/officeDocument/2006/relationships/hyperlink" Target="https://www.consultant.ru/document/cons_doc_LAW_61801/d996966e22e1320c9de1ab82d9f6be12c3d9d765/" TargetMode="External"/><Relationship Id="rId12" Type="http://schemas.openxmlformats.org/officeDocument/2006/relationships/hyperlink" Target="https://www.consultant.ru/document/cons_doc_LAW_61801/d996966e22e1320c9de1ab82d9f6be12c3d9d765/" TargetMode="External"/><Relationship Id="rId13" Type="http://schemas.openxmlformats.org/officeDocument/2006/relationships/hyperlink" Target="http://www.consultant.ru/document/cons_doc_LAW_121499/" TargetMode="External"/><Relationship Id="rId14" Type="http://schemas.openxmlformats.org/officeDocument/2006/relationships/hyperlink" Target="http://www.consultant.ru/document/cons_doc_LAW_121499/" TargetMode="External"/><Relationship Id="rId15" Type="http://schemas.openxmlformats.org/officeDocument/2006/relationships/hyperlink" Target="http://www.consultant.ru/document/cons_doc_LAW_121499/" TargetMode="External"/><Relationship Id="rId16" Type="http://schemas.openxmlformats.org/officeDocument/2006/relationships/hyperlink" Target="https://www.consultant.ru/document/cons_doc_LAW_121499/" TargetMode="External"/><Relationship Id="rId17" Type="http://schemas.openxmlformats.org/officeDocument/2006/relationships/hyperlink" Target="https://www.consultant.ru/document/cons_doc_LAW_121499/" TargetMode="External"/><Relationship Id="rId18" Type="http://schemas.openxmlformats.org/officeDocument/2006/relationships/hyperlink" Target="https://www.consultant.ru/document/cons_doc_LAW_121499/" TargetMode="External"/><Relationship Id="rId19" Type="http://schemas.openxmlformats.org/officeDocument/2006/relationships/hyperlink" Target="mailto:info@rosatom.ru" TargetMode="External"/><Relationship Id="rId20" Type="http://schemas.openxmlformats.org/officeDocument/2006/relationships/header" Target="header4.xml"/><Relationship Id="rId21" Type="http://schemas.openxmlformats.org/officeDocument/2006/relationships/footer" Target="footer4.xml"/><Relationship Id="rId22" Type="http://schemas.openxmlformats.org/officeDocument/2006/relationships/header" Target="header5.xml"/><Relationship Id="rId23" Type="http://schemas.openxmlformats.org/officeDocument/2006/relationships/footer" Target="footer5.xml"/><Relationship Id="rId24" Type="http://schemas.openxmlformats.org/officeDocument/2006/relationships/header" Target="header6.xml"/><Relationship Id="rId25" Type="http://schemas.openxmlformats.org/officeDocument/2006/relationships/footer" Target="footer6.xml"/><Relationship Id="rId26" Type="http://schemas.openxmlformats.org/officeDocument/2006/relationships/header" Target="header7.xml"/><Relationship Id="rId27" Type="http://schemas.openxmlformats.org/officeDocument/2006/relationships/footer" Target="footer7.xml"/><Relationship Id="rId28" Type="http://schemas.openxmlformats.org/officeDocument/2006/relationships/hyperlink" Target="https://login.consultant.ru/link/?req=doc&amp;base=LAW&amp;n=439201&amp;date=29.05.2023&amp;dst=100282&amp;field=134" TargetMode="External"/><Relationship Id="rId29" Type="http://schemas.openxmlformats.org/officeDocument/2006/relationships/hyperlink" Target="https://login.consultant.ru/link/?req=doc&amp;base=LAW&amp;n=439201&amp;date=29.05.2023&amp;dst=100304&amp;field=134" TargetMode="External"/><Relationship Id="rId30" Type="http://schemas.openxmlformats.org/officeDocument/2006/relationships/header" Target="header8.xml"/><Relationship Id="rId31" Type="http://schemas.openxmlformats.org/officeDocument/2006/relationships/footer" Target="footer8.xml"/><Relationship Id="rId32" Type="http://schemas.openxmlformats.org/officeDocument/2006/relationships/hyperlink" Target="mailto:%3D%3Fkoi8-r%3FQ%3F%3DF0%3DCF%3DCC%3DC9%3DD7%3DCF%3DC4%3DC1_%3F%3D %3D%3Fkoi8-r%3FQ%3F%3DE2%3DCF%3DD2%3DC9%3DD3_%3F%3D %3D%3Fkoi8-r%3FQ%3F%3DE9%3DD7%3DC1%3DCE%3DCF%3DD7%3DC9%3DDE%3F%3D &lt;BIPolivoda@rosatom.ru&gt;" TargetMode="External"/><Relationship Id="rId33" Type="http://schemas.openxmlformats.org/officeDocument/2006/relationships/header" Target="header9.xml"/><Relationship Id="rId34" Type="http://schemas.openxmlformats.org/officeDocument/2006/relationships/footer" Target="footer9.xml"/><Relationship Id="rId35" Type="http://schemas.openxmlformats.org/officeDocument/2006/relationships/image" Target="media/image1.wmf"/><Relationship Id="rId36" Type="http://schemas.openxmlformats.org/officeDocument/2006/relationships/header" Target="header10.xml"/><Relationship Id="rId37" Type="http://schemas.openxmlformats.org/officeDocument/2006/relationships/footer" Target="footer10.xml"/><Relationship Id="rId38" Type="http://schemas.openxmlformats.org/officeDocument/2006/relationships/image" Target="media/image2.wmf"/><Relationship Id="rId39" Type="http://schemas.openxmlformats.org/officeDocument/2006/relationships/image" Target="media/image3.wmf"/><Relationship Id="rId40" Type="http://schemas.openxmlformats.org/officeDocument/2006/relationships/image" Target="media/image4.wmf"/><Relationship Id="rId41" Type="http://schemas.openxmlformats.org/officeDocument/2006/relationships/header" Target="header11.xml"/><Relationship Id="rId42" Type="http://schemas.openxmlformats.org/officeDocument/2006/relationships/footer" Target="footer11.xml"/><Relationship Id="rId43" Type="http://schemas.openxmlformats.org/officeDocument/2006/relationships/image" Target="media/image5.wmf"/><Relationship Id="rId44" Type="http://schemas.openxmlformats.org/officeDocument/2006/relationships/header" Target="header12.xml"/><Relationship Id="rId45" Type="http://schemas.openxmlformats.org/officeDocument/2006/relationships/footer" Target="footer12.xml"/><Relationship Id="rId46" Type="http://schemas.openxmlformats.org/officeDocument/2006/relationships/footnotes" Target="footnotes.xml"/><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Relationship Id="rId5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44825-708D-4462-A68F-0D8F58EBB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LibreOffice/7.3.3.2$Linux_X86_64 LibreOffice_project/d1d0ea68f081ee2800a922cac8f79445e4603348</Application>
  <AppVersion>15.0000</AppVersion>
  <Pages>50</Pages>
  <Words>13329</Words>
  <Characters>96083</Characters>
  <CharactersWithSpaces>108503</CharactersWithSpaces>
  <Paragraphs>859</Paragraphs>
  <Company>АНО ДПО «Техническая академия Росатома»</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2023-11-15T11:20:00Z</dcterms:created>
  <dc:creator>Гарабаева Джамиля Какышевна</dc:creator>
  <dc:description/>
  <dc:language>ru-RU</dc:language>
  <cp:lastModifiedBy>Румянцева Наталья Александровна</cp:lastModifiedBy>
  <cp:lastPrinted>2023-11-07T07:01:00Z</cp:lastPrinted>
  <dcterms:modified xsi:type="dcterms:W3CDTF">2023-11-15T13:13:00Z</dcterms:modified>
  <cp:revision>3</cp:revision>
  <dc:subject/>
  <dc:title>Министерство Российской Федерации по атомной энергии</dc:title>
</cp:coreProperties>
</file>

<file path=docProps/custom.xml><?xml version="1.0" encoding="utf-8"?>
<Properties xmlns="http://schemas.openxmlformats.org/officeDocument/2006/custom-properties" xmlns:vt="http://schemas.openxmlformats.org/officeDocument/2006/docPropsVTypes"/>
</file>