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-579755</wp:posOffset>
            </wp:positionV>
            <wp:extent cx="6120130" cy="148463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8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Standard"/>
        <w:ind w:hanging="0" w:right="1501"/>
        <w:jc w:val="both"/>
        <w:rPr/>
      </w:pPr>
      <w:r>
        <w:rPr>
          <w:rFonts w:cs="Arial" w:ascii="Arial" w:hAnsi="Arial"/>
          <w:b/>
          <w:sz w:val="36"/>
          <w:szCs w:val="36"/>
        </w:rPr>
        <w:t>Справочная информация:</w:t>
      </w:r>
      <w:r>
        <w:rPr>
          <w:rFonts w:cs="Arial" w:ascii="Arial" w:hAnsi="Arial"/>
        </w:rPr>
        <w:tab/>
        <w:tab/>
        <w:tab/>
        <w:tab/>
        <w:tab/>
        <w:tab/>
        <w:tab/>
        <w:tab/>
      </w:r>
    </w:p>
    <w:p>
      <w:pPr>
        <w:pStyle w:val="Normal"/>
        <w:rPr>
          <w:sz w:val="26"/>
          <w:szCs w:val="26"/>
        </w:rPr>
      </w:pPr>
      <w:r>
        <w:rPr>
          <w:b/>
          <w:bCs/>
          <w:sz w:val="26"/>
          <w:szCs w:val="26"/>
        </w:rPr>
        <w:t>Техническая академия Росатома – современный многопрофильный центр подготовки персонала отечественной и зарубежной атомной отрасли</w:t>
      </w:r>
      <w:r>
        <w:rPr>
          <w:sz w:val="26"/>
          <w:szCs w:val="26"/>
        </w:rPr>
        <w:t>. Академия осуществляет профессиональную переподготовку руководителей и специалистов атомной энергетики и промышленности, аттестацию персонала, а также оказывает научно-методическую поддержку организациям Госкорпорации «Росатом» в области обеспечения безопасного использования атомной энергии, контроля, государственной безопасности, операционных и поддерживающих процессов. Имеет статус Центра сотрудничества МАГАТЭ в области ядерных технологий, неэнергетических применений, глобальной ядерной безопасности и физической защиты, практические договоренности в области гарантий.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b/>
          <w:bCs/>
          <w:sz w:val="26"/>
          <w:szCs w:val="26"/>
        </w:rPr>
        <w:t>Сегодня в составе Технической академии Росатома находится 4 учебных площадки в Обнинске, Нововоронеже, Москве, Санкт-Петербурге</w:t>
      </w:r>
      <w:r>
        <w:rPr>
          <w:sz w:val="26"/>
          <w:szCs w:val="26"/>
        </w:rPr>
        <w:t xml:space="preserve">. Учебная база включает виртуальные классы, комплекс визуализации АЭС, учебные полигоны по физической защите, многофункциональные и полномасштабный тренажеры, а также тренажеры для подготовки ремонтного персонала. Современная инфраструктура обучения и высококвалифицированный преподавательский состав Академии позволяют решать практически все задачи, связанные с образовательной поддержкой отраслевых и государственных целей, международным бизнесом. </w:t>
      </w:r>
      <w:r>
        <w:rPr>
          <w:b/>
          <w:bCs/>
          <w:sz w:val="26"/>
          <w:szCs w:val="26"/>
        </w:rPr>
        <w:t xml:space="preserve">С 1967 года здесь обучено </w:t>
      </w:r>
      <w:r>
        <w:rPr>
          <w:b/>
          <w:bCs/>
          <w:sz w:val="26"/>
          <w:szCs w:val="26"/>
        </w:rPr>
        <w:t>с</w:t>
      </w:r>
      <w:r>
        <w:rPr>
          <w:b/>
          <w:bCs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z w:val="26"/>
          <w:szCs w:val="26"/>
        </w:rPr>
        <w:t>ш</w:t>
      </w:r>
      <w:r>
        <w:rPr>
          <w:b/>
          <w:bCs/>
          <w:sz w:val="26"/>
          <w:szCs w:val="26"/>
        </w:rPr>
        <w:t xml:space="preserve">е </w:t>
      </w:r>
      <w:r>
        <w:rPr>
          <w:b/>
          <w:bCs/>
          <w:sz w:val="26"/>
          <w:szCs w:val="26"/>
        </w:rPr>
        <w:t xml:space="preserve">470 тысяч отраслевых слушателей. С 1972 года подготовку в Технической академии прошли более </w:t>
      </w:r>
      <w:r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0</w:t>
      </w:r>
      <w:r>
        <w:rPr>
          <w:b/>
          <w:bCs/>
          <w:sz w:val="26"/>
          <w:szCs w:val="26"/>
        </w:rPr>
        <w:t xml:space="preserve"> тысяч специалистов зарубежных станций. </w:t>
      </w:r>
      <w:r>
        <w:rPr>
          <w:b w:val="false"/>
          <w:bCs w:val="false"/>
          <w:sz w:val="26"/>
          <w:szCs w:val="26"/>
        </w:rPr>
        <w:t>Проводится широкий спектр международных учебных мероприятий МАГАТЭ для специалистов ядерной инфраструктуры, курсы по подготовке преподавателей зарубежных вузов.</w:t>
      </w:r>
    </w:p>
    <w:p>
      <w:pPr>
        <w:pStyle w:val="Normal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До 2030 года по контрактам на подготовку персонала АЭС Техакадемия обучит более 15 тысяч иностранных специалистов из Египта, Бангладеш, Турции, и других стран присутствия Росатома. </w:t>
      </w:r>
      <w:r>
        <w:rPr>
          <w:sz w:val="26"/>
          <w:szCs w:val="26"/>
        </w:rPr>
        <w:t>Кроме этого, совместно с МАГАТЭ организация проводит просветительскую деятельность для стран, вставших на путь развития атомной энергетики.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Подготовка кадров — важный элемент проектов по строительству атомных станций, от которого зависит безопасная эксплуатация ядерного объекта. Обучать специалистов отрасли новые страны начинают задолго до строительства объекта использования атомной энергии: наряду с подготовкой студентов в университетах мира развивают собственные программы в области ядерного образования, важным шагом является подготовка сотрудников эксплуатирующих организаций и регулирующих органов. Обладая опытом и знаниями, Госкорпорация «Росатом» может предложить эти и другие образовательные программы своим партнерам. В том числе и самые современные технические средства обучения, которые позволяют отрабатывать теоретические знания на практике.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b/>
          <w:bCs/>
        </w:rPr>
      </w:pPr>
      <w:r>
        <w:rPr>
          <w:rStyle w:val="Style13"/>
          <w:b w:val="false"/>
          <w:bCs w:val="false"/>
          <w:i/>
          <w:iCs/>
          <w:sz w:val="26"/>
          <w:szCs w:val="26"/>
          <w:u w:val="none"/>
        </w:rPr>
        <w:t xml:space="preserve">Техническая академия Росатома как отраслевой центр развития компетенций в области ядерных технологий оказывает образовательную поддержку на всех этапах жизненного цикла АЭС: обучает строительный, эксплуатационный, ремонтный персонал, инструкторов учебно-тренировочных центров. </w:t>
      </w:r>
    </w:p>
    <w:p>
      <w:pPr>
        <w:pStyle w:val="Normal"/>
        <w:rPr>
          <w:rStyle w:val="Style13"/>
          <w:b w:val="false"/>
          <w:bCs w:val="false"/>
          <w:i/>
          <w:i/>
          <w:iCs/>
          <w:sz w:val="24"/>
          <w:u w:val="none"/>
        </w:rPr>
      </w:pPr>
      <w:r>
        <w:rPr>
          <w:b w:val="false"/>
          <w:bCs w:val="false"/>
          <w:i/>
          <w:iCs/>
          <w:sz w:val="24"/>
          <w:u w:val="none"/>
        </w:rPr>
      </w:r>
    </w:p>
    <w:p>
      <w:pPr>
        <w:pStyle w:val="Normal"/>
        <w:rPr>
          <w:rStyle w:val="Style13"/>
          <w:b w:val="false"/>
          <w:bCs w:val="false"/>
          <w:i/>
          <w:i/>
          <w:iCs/>
          <w:sz w:val="24"/>
          <w:u w:val="none"/>
        </w:rPr>
      </w:pPr>
      <w:r>
        <w:rPr>
          <w:b w:val="false"/>
          <w:bCs w:val="false"/>
          <w:i/>
          <w:iCs/>
          <w:sz w:val="24"/>
          <w:u w:val="none"/>
        </w:rPr>
      </w:r>
    </w:p>
    <w:p>
      <w:pPr>
        <w:pStyle w:val="Standard"/>
        <w:spacing w:lineRule="auto" w:line="216"/>
        <w:ind w:hanging="0" w:left="0" w:right="-22"/>
        <w:jc w:val="both"/>
        <w:rPr>
          <w:rFonts w:ascii="Arial" w:hAnsi="Arial" w:eastAsia="Rosatom" w:cs="Arial"/>
          <w:b/>
          <w:color w:val="000000"/>
          <w:sz w:val="28"/>
          <w:szCs w:val="28"/>
        </w:rPr>
      </w:pPr>
      <w:r>
        <w:rPr>
          <w:rFonts w:eastAsia="Rosatom" w:cs="Arial" w:ascii="Arial" w:hAnsi="Arial"/>
          <w:b/>
          <w:color w:val="000000"/>
          <w:sz w:val="28"/>
          <w:szCs w:val="28"/>
        </w:rPr>
        <w:t>Блок Директора по коммуникациям</w:t>
      </w:r>
    </w:p>
    <w:p>
      <w:pPr>
        <w:pStyle w:val="Standard"/>
        <w:jc w:val="both"/>
        <w:rPr>
          <w:rFonts w:ascii="Arial" w:hAnsi="Arial" w:eastAsia="Rosatom" w:cs="Arial"/>
          <w:b/>
          <w:color w:val="000000"/>
          <w:sz w:val="28"/>
          <w:szCs w:val="28"/>
        </w:rPr>
      </w:pPr>
      <w:r>
        <w:rPr>
          <w:rFonts w:eastAsia="Rosatom" w:cs="Rosatom" w:ascii="Arial" w:hAnsi="Arial"/>
          <w:color w:val="000000"/>
          <w:kern w:val="0"/>
          <w:lang w:eastAsia="ru-RU" w:bidi="ar-SA"/>
        </w:rPr>
        <w:t xml:space="preserve">Специалист по коммуникации Куклин Р.А. </w:t>
      </w:r>
    </w:p>
    <w:p>
      <w:pPr>
        <w:pStyle w:val="Standard"/>
        <w:jc w:val="both"/>
        <w:rPr>
          <w:rFonts w:ascii="Arial" w:hAnsi="Arial" w:eastAsia="Rosatom" w:cs="Arial"/>
          <w:b/>
          <w:color w:val="000000"/>
          <w:sz w:val="28"/>
          <w:szCs w:val="28"/>
        </w:rPr>
      </w:pPr>
      <w:r>
        <w:rPr>
          <w:rFonts w:eastAsia="Rosatom" w:cs="Rosatom" w:ascii="Arial" w:hAnsi="Arial"/>
          <w:color w:val="000000"/>
          <w:kern w:val="0"/>
          <w:lang w:eastAsia="ru-RU" w:bidi="ar-SA"/>
        </w:rPr>
        <w:t>RoAKuklin@rosatom.ru</w:t>
      </w:r>
    </w:p>
    <w:p>
      <w:pPr>
        <w:pStyle w:val="Standard"/>
        <w:jc w:val="both"/>
        <w:rPr>
          <w:rFonts w:ascii="Arial" w:hAnsi="Arial" w:eastAsia="Rosatom" w:cs="Arial"/>
          <w:b/>
          <w:color w:val="000000"/>
          <w:sz w:val="28"/>
          <w:szCs w:val="28"/>
        </w:rPr>
      </w:pPr>
      <w:r>
        <w:rPr>
          <w:rFonts w:eastAsia="Rosatom" w:cs="Rosatom" w:ascii="Arial" w:hAnsi="Arial"/>
          <w:color w:val="000000"/>
          <w:kern w:val="0"/>
          <w:lang w:eastAsia="ru-RU" w:bidi="ar-SA"/>
        </w:rPr>
        <w:t>+ 7 953 327 29 14</w:t>
      </w:r>
    </w:p>
    <w:p>
      <w:pPr>
        <w:pStyle w:val="Normal"/>
        <w:spacing w:lineRule="auto" w:line="216"/>
        <w:ind w:hanging="0" w:right="-22"/>
        <w:jc w:val="both"/>
        <w:rPr>
          <w:rFonts w:ascii="Arial" w:hAnsi="Arial" w:eastAsia="Rosatom" w:cs="Arial"/>
          <w:b/>
          <w:color w:val="000000"/>
          <w:sz w:val="28"/>
          <w:szCs w:val="28"/>
        </w:rPr>
      </w:pPr>
      <w:r>
        <w:rPr>
          <w:rFonts w:eastAsia="Rosatom" w:cs="Arial" w:ascii="Arial" w:hAnsi="Arial"/>
          <w:b/>
          <w:color w:val="000000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6"/>
    <w:next w:val="BodyText"/>
    <w:qFormat/>
    <w:pPr>
      <w:spacing w:before="240" w:after="120"/>
      <w:outlineLvl w:val="0"/>
    </w:pPr>
    <w:rPr>
      <w:rFonts w:ascii="Liberation Serif" w:hAnsi="Liberation Serif" w:eastAsia="Tahoma" w:cs="Noto Sans Devanagari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qFormat/>
    <w:rPr>
      <w:color w:val="000080"/>
      <w:u w:val="single"/>
      <w:lang w:val="zxx" w:eastAsia="zxx" w:bidi="zxx"/>
    </w:rPr>
  </w:style>
  <w:style w:type="character" w:styleId="Style13">
    <w:name w:val="Выделение"/>
    <w:qFormat/>
    <w:rPr>
      <w:i/>
      <w:iCs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Основной шрифт абзаца"/>
    <w:qFormat/>
    <w:rPr/>
  </w:style>
  <w:style w:type="paragraph" w:styleId="Style16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Style17" w:customStyle="1">
    <w:name w:val="Указатель"/>
    <w:basedOn w:val="Standard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Cs w:val="18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partment-of-special-competencies-pagetext">
    <w:name w:val="department-of-special-competencies-page__text"/>
    <w:basedOn w:val="Normal"/>
    <w:qFormat/>
    <w:pPr>
      <w:suppressAutoHyphens w:val="false"/>
      <w:spacing w:before="100" w:after="100"/>
    </w:pPr>
    <w:rPr>
      <w:rFonts w:ascii="Times New Roman" w:hAnsi="Times New Roman" w:eastAsia="Times New Roman" w:cs="Times New Roman"/>
      <w:lang w:eastAsia="ru-RU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LibreOffice/25.8.3.2$Linux_X86_64 LibreOffice_project/8ca8d55c161d602844f5428fa4b58097424e324e</Application>
  <AppVersion>15.0000</AppVersion>
  <DocSecurity>4</DocSecurity>
  <Pages>2</Pages>
  <Words>346</Words>
  <Characters>2713</Characters>
  <CharactersWithSpaces>3061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2023-11-08T08:01:00Z</dcterms:created>
  <dc:creator/>
  <dc:description/>
  <dc:language>ru-RU</dc:language>
  <cp:lastModifiedBy/>
  <cp:lastPrinted>2024-09-12T14:33:00Z</cp:lastPrinted>
  <dcterms:modified xsi:type="dcterms:W3CDTF">2026-08-19T17:00:04Z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