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spacing w:before="240" w:after="240"/>
        <w:ind w:left="0" w:hanging="0"/>
        <w:rPr/>
      </w:pPr>
      <w:bookmarkStart w:id="0" w:name="_Toc67985258"/>
      <w:bookmarkStart w:id="1" w:name="_Toc39143219"/>
      <w:r>
        <w:rPr/>
        <w:t>Учебно-материальная база</w:t>
      </w:r>
      <w:bookmarkEnd w:id="0"/>
      <w:bookmarkEnd w:id="1"/>
    </w:p>
    <w:p>
      <w:pPr>
        <w:pStyle w:val="Style14"/>
        <w:rPr/>
      </w:pPr>
      <w:r>
        <w:rPr/>
        <w:t>Обнинск</w:t>
      </w:r>
    </w:p>
    <w:p>
      <w:pPr>
        <w:pStyle w:val="Style15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Площадь учебного комплекса составляет </w:t>
      </w:r>
      <w:r>
        <w:rPr>
          <w:rFonts w:eastAsia="Times New Roman"/>
          <w:color w:val="000000"/>
          <w:lang w:eastAsia="ru-RU"/>
        </w:rPr>
        <w:t xml:space="preserve">28 939 </w:t>
      </w:r>
      <w:r>
        <w:rPr>
          <w:rFonts w:eastAsia="Times New Roman"/>
          <w:lang w:eastAsia="ru-RU"/>
        </w:rPr>
        <w:t>кв. метров и площадь полигонов –</w:t>
      </w:r>
      <w:r>
        <w:rPr>
          <w:rFonts w:eastAsia="Times New Roman"/>
          <w:shd w:fill="auto" w:val="clear"/>
          <w:lang w:eastAsia="ru-RU"/>
        </w:rPr>
        <w:t xml:space="preserve"> </w:t>
      </w:r>
      <w:r>
        <w:rPr>
          <w:rFonts w:eastAsia="Times New Roman"/>
          <w:color w:val="000000"/>
          <w:shd w:fill="auto" w:val="clear"/>
          <w:lang w:eastAsia="ru-RU"/>
        </w:rPr>
        <w:t xml:space="preserve">2900 </w:t>
      </w:r>
      <w:r>
        <w:rPr>
          <w:rFonts w:eastAsia="Times New Roman"/>
          <w:shd w:fill="auto" w:val="clear"/>
          <w:lang w:eastAsia="ru-RU"/>
        </w:rPr>
        <w:t>к</w:t>
      </w:r>
      <w:r>
        <w:rPr>
          <w:rFonts w:eastAsia="Times New Roman"/>
          <w:shd w:fill="auto" w:val="clear"/>
          <w:lang w:eastAsia="ru-RU"/>
        </w:rPr>
        <w:t>в</w:t>
      </w:r>
      <w:r>
        <w:rPr>
          <w:rFonts w:eastAsia="Times New Roman"/>
          <w:lang w:eastAsia="ru-RU"/>
        </w:rPr>
        <w:t>. метров.</w:t>
      </w:r>
    </w:p>
    <w:p>
      <w:pPr>
        <w:pStyle w:val="Style15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Аудиторный фонд включает в себя:</w:t>
      </w:r>
    </w:p>
    <w:p>
      <w:pPr>
        <w:pStyle w:val="Style16"/>
        <w:numPr>
          <w:ilvl w:val="0"/>
          <w:numId w:val="3"/>
        </w:numPr>
        <w:rPr/>
      </w:pPr>
      <w:r>
        <w:rPr/>
        <w:t>два конференц-зала:</w:t>
      </w:r>
    </w:p>
    <w:p>
      <w:pPr>
        <w:pStyle w:val="Style17"/>
        <w:numPr>
          <w:ilvl w:val="1"/>
          <w:numId w:val="2"/>
        </w:numPr>
        <w:ind w:left="1276" w:hanging="283"/>
        <w:rPr>
          <w:shd w:fill="auto" w:val="clear"/>
        </w:rPr>
      </w:pPr>
      <w:r>
        <w:rPr>
          <w:shd w:fill="auto" w:val="clear"/>
        </w:rPr>
        <w:t>с трансформацией от 100 до 450 мест;</w:t>
      </w:r>
    </w:p>
    <w:p>
      <w:pPr>
        <w:pStyle w:val="Style17"/>
        <w:numPr>
          <w:ilvl w:val="1"/>
          <w:numId w:val="2"/>
        </w:numPr>
        <w:ind w:left="1276" w:hanging="283"/>
        <w:rPr>
          <w:shd w:fill="auto" w:val="clear"/>
        </w:rPr>
      </w:pPr>
      <w:r>
        <w:rPr>
          <w:shd w:fill="auto" w:val="clear"/>
        </w:rPr>
        <w:t>на 150 мест (аттестован);</w:t>
      </w:r>
    </w:p>
    <w:p>
      <w:pPr>
        <w:pStyle w:val="Style16"/>
        <w:numPr>
          <w:ilvl w:val="0"/>
          <w:numId w:val="3"/>
        </w:numPr>
        <w:rPr>
          <w:shd w:fill="auto" w:val="clear"/>
        </w:rPr>
      </w:pPr>
      <w:r>
        <w:rPr>
          <w:shd w:fill="auto" w:val="clear"/>
        </w:rPr>
        <w:t>две поточные аудитории на 120 и 250 человек;</w:t>
      </w:r>
    </w:p>
    <w:p>
      <w:pPr>
        <w:pStyle w:val="Style16"/>
        <w:numPr>
          <w:ilvl w:val="0"/>
          <w:numId w:val="3"/>
        </w:numPr>
        <w:rPr>
          <w:shd w:fill="auto" w:val="clear"/>
        </w:rPr>
      </w:pPr>
      <w:r>
        <w:rPr>
          <w:shd w:fill="auto" w:val="clear"/>
        </w:rPr>
        <w:t>одна аудитория – трансформер на 50 человек;</w:t>
      </w:r>
    </w:p>
    <w:p>
      <w:pPr>
        <w:pStyle w:val="Style16"/>
        <w:numPr>
          <w:ilvl w:val="0"/>
          <w:numId w:val="3"/>
        </w:numPr>
        <w:rPr>
          <w:shd w:fill="auto" w:val="clear"/>
        </w:rPr>
      </w:pPr>
      <w:r>
        <w:rPr>
          <w:color w:val="000000"/>
          <w:shd w:fill="auto" w:val="clear"/>
        </w:rPr>
        <w:t>четырнадцать</w:t>
      </w:r>
      <w:r>
        <w:rPr>
          <w:shd w:fill="auto" w:val="clear"/>
        </w:rPr>
        <w:t xml:space="preserve"> аудиторий вместимостью 10-40 человек, в том числе три аттестованные аудитории; </w:t>
      </w:r>
    </w:p>
    <w:p>
      <w:pPr>
        <w:pStyle w:val="Style16"/>
        <w:numPr>
          <w:ilvl w:val="0"/>
          <w:numId w:val="3"/>
        </w:numPr>
        <w:rPr/>
      </w:pPr>
      <w:r>
        <w:rPr>
          <w:shd w:fill="auto" w:val="clear"/>
        </w:rPr>
        <w:t>восемь компьютерных классов (1 – аттестован)</w:t>
      </w:r>
      <w:r>
        <w:rPr/>
        <w:t xml:space="preserve"> – 180</w:t>
      </w:r>
      <w:r>
        <w:rPr>
          <w:color w:val="FF0000"/>
        </w:rPr>
        <w:t xml:space="preserve"> </w:t>
      </w:r>
      <w:r>
        <w:rPr/>
        <w:t>стационарных персональных компьютера и 360 ноутбуков;</w:t>
      </w:r>
      <w:bookmarkStart w:id="2" w:name="_GoBack"/>
      <w:bookmarkEnd w:id="2"/>
    </w:p>
    <w:p>
      <w:pPr>
        <w:pStyle w:val="Style16"/>
        <w:numPr>
          <w:ilvl w:val="0"/>
          <w:numId w:val="3"/>
        </w:numPr>
        <w:rPr>
          <w:rFonts w:ascii="Calibri" w:hAnsi="Calibri" w:eastAsia="Calibri" w:cs="" w:asciiTheme="minorHAnsi" w:cstheme="minorBidi" w:eastAsiaTheme="minorHAnsi" w:hAnsiTheme="minorHAnsi"/>
          <w:shd w:fill="auto" w:val="clear"/>
        </w:rPr>
      </w:pPr>
      <w:r>
        <w:rPr>
          <w:rFonts w:eastAsia="Calibri" w:cs="" w:cstheme="minorBidi" w:eastAsiaTheme="minorHAnsi"/>
          <w:color w:val="000000"/>
          <w:shd w:fill="auto" w:val="clear"/>
        </w:rPr>
        <w:t>пять</w:t>
      </w:r>
      <w:r>
        <w:rPr>
          <w:rFonts w:eastAsia="Calibri" w:cs="" w:cstheme="minorBidi" w:eastAsiaTheme="minorHAnsi"/>
          <w:color w:val="C9211E"/>
          <w:shd w:fill="auto" w:val="clear"/>
        </w:rPr>
        <w:t xml:space="preserve"> </w:t>
      </w:r>
      <w:r>
        <w:rPr>
          <w:rFonts w:eastAsia="Calibri" w:cs="" w:cstheme="minorBidi" w:eastAsiaTheme="minorHAnsi"/>
          <w:shd w:fill="auto" w:val="clear"/>
        </w:rPr>
        <w:t xml:space="preserve">аудиторий – лабораторий на 20-40 человек; </w:t>
      </w:r>
    </w:p>
    <w:p>
      <w:pPr>
        <w:pStyle w:val="Style16"/>
        <w:numPr>
          <w:ilvl w:val="0"/>
          <w:numId w:val="3"/>
        </w:numPr>
        <w:rPr>
          <w:rFonts w:ascii="Calibri" w:hAnsi="Calibri" w:eastAsia="Calibri" w:cs="" w:asciiTheme="minorHAnsi" w:cstheme="minorBidi" w:eastAsiaTheme="minorHAnsi" w:hAnsiTheme="minorHAnsi"/>
          <w:shd w:fill="auto" w:val="clear"/>
        </w:rPr>
      </w:pPr>
      <w:r>
        <w:rPr>
          <w:rFonts w:eastAsia="Calibri" w:cs="" w:cstheme="minorBidi" w:eastAsiaTheme="minorHAnsi"/>
          <w:shd w:fill="auto" w:val="clear"/>
        </w:rPr>
        <w:t>одна аудитория – лаборатория на 20 человек, с макетом гипотетического ядерного оборудования;</w:t>
      </w:r>
    </w:p>
    <w:p>
      <w:pPr>
        <w:pStyle w:val="Style16"/>
        <w:numPr>
          <w:ilvl w:val="0"/>
          <w:numId w:val="3"/>
        </w:numPr>
        <w:rPr>
          <w:rFonts w:ascii="Calibri" w:hAnsi="Calibri" w:eastAsia="Calibri" w:cs="" w:asciiTheme="minorHAnsi" w:cstheme="minorBidi" w:eastAsiaTheme="minorHAnsi" w:hAnsiTheme="minorHAnsi"/>
          <w:shd w:fill="auto" w:val="clear"/>
        </w:rPr>
      </w:pPr>
      <w:r>
        <w:rPr>
          <w:rFonts w:eastAsia="Calibri" w:cs="" w:cstheme="minorBidi" w:eastAsiaTheme="minorHAnsi"/>
          <w:shd w:fill="auto" w:val="clear"/>
        </w:rPr>
        <w:t>одна специализированная аудитория на 24 человека;</w:t>
      </w:r>
    </w:p>
    <w:p>
      <w:pPr>
        <w:pStyle w:val="Style16"/>
        <w:numPr>
          <w:ilvl w:val="0"/>
          <w:numId w:val="3"/>
        </w:numPr>
        <w:rPr>
          <w:rFonts w:ascii="Calibri" w:hAnsi="Calibri" w:eastAsia="Calibri" w:cs="" w:asciiTheme="minorHAnsi" w:cstheme="minorBidi" w:eastAsiaTheme="minorHAnsi" w:hAnsiTheme="minorHAnsi"/>
          <w:shd w:fill="auto" w:val="clear"/>
        </w:rPr>
      </w:pPr>
      <w:r>
        <w:rPr>
          <w:rFonts w:eastAsia="Calibri" w:cs="" w:cstheme="minorBidi" w:eastAsiaTheme="minorHAnsi"/>
          <w:color w:val="000000"/>
          <w:shd w:fill="auto" w:val="clear"/>
        </w:rPr>
        <w:t>девять</w:t>
      </w:r>
      <w:r>
        <w:rPr>
          <w:rFonts w:eastAsia="Calibri" w:cs="" w:cstheme="minorBidi" w:eastAsiaTheme="minorHAnsi"/>
          <w:shd w:fill="auto" w:val="clear"/>
        </w:rPr>
        <w:t xml:space="preserve"> лабораторий на 8-12 человек; </w:t>
      </w:r>
    </w:p>
    <w:p>
      <w:pPr>
        <w:pStyle w:val="Style16"/>
        <w:numPr>
          <w:ilvl w:val="0"/>
          <w:numId w:val="3"/>
        </w:numPr>
        <w:rPr/>
      </w:pPr>
      <w:r>
        <w:rPr/>
        <w:t>пятнадцать аудиторий для обучения иностранных специалистов;</w:t>
      </w:r>
    </w:p>
    <w:p>
      <w:pPr>
        <w:pStyle w:val="Style16"/>
        <w:numPr>
          <w:ilvl w:val="0"/>
          <w:numId w:val="3"/>
        </w:numPr>
        <w:rPr/>
      </w:pPr>
      <w:r>
        <w:rPr>
          <w:color w:val="000000"/>
        </w:rPr>
        <w:t>пять комнат</w:t>
      </w:r>
      <w:r>
        <w:rPr/>
        <w:t xml:space="preserve"> для переговоров; </w:t>
      </w:r>
    </w:p>
    <w:p>
      <w:pPr>
        <w:pStyle w:val="Style16"/>
        <w:numPr>
          <w:ilvl w:val="0"/>
          <w:numId w:val="3"/>
        </w:numPr>
        <w:rPr/>
      </w:pPr>
      <w:r>
        <w:rPr/>
        <w:t>один спецангар для подготовки сил охраны;</w:t>
      </w:r>
    </w:p>
    <w:p>
      <w:pPr>
        <w:pStyle w:val="Style16"/>
        <w:numPr>
          <w:ilvl w:val="0"/>
          <w:numId w:val="3"/>
        </w:numPr>
        <w:rPr/>
      </w:pPr>
      <w:r>
        <w:rPr/>
        <w:t>три полигона, оснащенных ИТСФЗ российского и зарубежного производства;</w:t>
      </w:r>
    </w:p>
    <w:p>
      <w:pPr>
        <w:pStyle w:val="Style16"/>
        <w:numPr>
          <w:ilvl w:val="0"/>
          <w:numId w:val="3"/>
        </w:numPr>
        <w:rPr/>
      </w:pPr>
      <w:r>
        <w:rPr/>
        <w:t>два издательских бюро, оснащенных современным копировально-множительным и постполиграфическим оборудованием, видеостудия Jalinga;</w:t>
      </w:r>
    </w:p>
    <w:p>
      <w:pPr>
        <w:pStyle w:val="Style16"/>
        <w:numPr>
          <w:ilvl w:val="0"/>
          <w:numId w:val="3"/>
        </w:numPr>
        <w:rPr/>
      </w:pPr>
      <w:r>
        <w:rPr/>
        <w:t>четыре помещения для проведения кофе-брейка.</w:t>
      </w:r>
    </w:p>
    <w:p>
      <w:pPr>
        <w:pStyle w:val="Style15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Также имеются </w:t>
      </w:r>
      <w:r>
        <w:rPr>
          <w:rFonts w:eastAsia="Times New Roman"/>
          <w:lang w:eastAsia="ru-RU"/>
        </w:rPr>
        <w:t>т</w:t>
      </w:r>
      <w:r>
        <w:rPr>
          <w:rFonts w:eastAsia="Times New Roman"/>
          <w:lang w:eastAsia="ru-RU"/>
        </w:rPr>
        <w:t>ехнические средства обучения, используемые в учебном процессе, включаю</w:t>
      </w:r>
      <w:r>
        <w:rPr>
          <w:rFonts w:eastAsia="Times New Roman"/>
          <w:lang w:eastAsia="ru-RU"/>
        </w:rPr>
        <w:t>щие</w:t>
      </w:r>
      <w:r>
        <w:rPr>
          <w:rFonts w:eastAsia="Times New Roman"/>
          <w:lang w:eastAsia="ru-RU"/>
        </w:rPr>
        <w:t xml:space="preserve"> в себя современные мультимедийные проекторы, аудио, видео и другую презентационную технику; сетевые компьютерные классы, подключенные к Internet, с возможностью проведения телемостов и видеоконференций; систему синхронного перевода; мобильные комплекты для проведения выездных занятий. Использование в учебном процессе компьютерных обучающих систем позволяет проводить учебные занятия и конференции на самом высоком современном уровне.</w:t>
      </w:r>
    </w:p>
    <w:p>
      <w:pPr>
        <w:pStyle w:val="Style15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В аудиторном комплексе Академии, включая компьютерные классы, одновременно могут обучаться до 2 000 слушателей.</w:t>
      </w:r>
    </w:p>
    <w:p>
      <w:pPr>
        <w:pStyle w:val="Style15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В комплекс зданий Академии входит комфортабельная гостиница на 315 номеров различной категории от класса «Люкс» до «Эконом».</w:t>
      </w:r>
    </w:p>
    <w:p>
      <w:pPr>
        <w:pStyle w:val="Style15"/>
        <w:rPr>
          <w:rFonts w:eastAsia="Times New Roman"/>
          <w:color w:val="000000" w:themeColor="text1"/>
          <w:lang w:eastAsia="ru-RU"/>
        </w:rPr>
      </w:pPr>
      <w:r>
        <w:rPr>
          <w:rFonts w:eastAsia="Times New Roman"/>
          <w:color w:val="000000" w:themeColor="text1"/>
          <w:lang w:eastAsia="ru-RU"/>
        </w:rPr>
        <w:t>Организация питания:</w:t>
      </w:r>
    </w:p>
    <w:p>
      <w:pPr>
        <w:pStyle w:val="Style16"/>
        <w:numPr>
          <w:ilvl w:val="0"/>
          <w:numId w:val="3"/>
        </w:numPr>
        <w:rPr/>
      </w:pPr>
      <w:r>
        <w:rPr/>
        <w:t>в здании гостиницы ‒ ресторан на 40 мест;</w:t>
      </w:r>
    </w:p>
    <w:p>
      <w:pPr>
        <w:pStyle w:val="Style16"/>
        <w:numPr>
          <w:ilvl w:val="0"/>
          <w:numId w:val="3"/>
        </w:numPr>
        <w:rPr/>
      </w:pPr>
      <w:r>
        <w:rPr/>
        <w:t>в учебном корпусе – столовая на 200 мест, гостевой зал на 25 мест и уютное современное кафе на 40 мест.</w:t>
      </w:r>
    </w:p>
    <w:p>
      <w:pPr>
        <w:pStyle w:val="Style15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Оказание первичной медико-санитарной помощи обучающимся осуществляется специалистами ООО «Регион-Медсервис» в соответствии с договором от 10</w:t>
      </w:r>
      <w:r>
        <w:rPr>
          <w:rFonts w:eastAsia="Times New Roman" w:cs="" w:cstheme="minorBidi"/>
          <w:shd w:fill="auto" w:val="clear"/>
          <w:lang w:eastAsia="ru-RU"/>
        </w:rPr>
        <w:t xml:space="preserve"> января 2022 г. № 01-006/2022-001/Р </w:t>
      </w:r>
      <w:r>
        <w:rPr>
          <w:rFonts w:eastAsia="Times New Roman"/>
          <w:lang w:eastAsia="ru-RU"/>
        </w:rPr>
        <w:t>на базе здравпункта АНО ДПО «Техническая академия Росатома» в административном здании КГС «Орбиталь», расположенном по адресу г. Обнинск, ул. Курчатова, дом 23.</w:t>
      </w:r>
    </w:p>
    <w:p>
      <w:pPr>
        <w:pStyle w:val="Style14"/>
        <w:rPr/>
      </w:pPr>
      <w:r>
        <w:rPr/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Times New Roman">
    <w:charset w:val="01"/>
    <w:family w:val="auto"/>
    <w:pitch w:val="default"/>
  </w:font>
  <w:font w:name="Symbol">
    <w:charset w:val="02"/>
    <w:family w:val="auto"/>
    <w:pitch w:val="default"/>
  </w:font>
  <w:font w:name="Wingdings">
    <w:charset w:val="02"/>
    <w:family w:val="auto"/>
    <w:pitch w:val="default"/>
  </w:font>
  <w:font w:name="Courier New"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decimal"/>
      <w:suff w:val="space"/>
      <w:lvlText w:val="Раздел %1."/>
      <w:lvlJc w:val="left"/>
      <w:pPr>
        <w:tabs>
          <w:tab w:val="num" w:pos="0"/>
        </w:tabs>
        <w:ind w:left="7655" w:hanging="0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color w:val="000000"/>
      </w:rPr>
    </w:lvl>
    <w:lvl w:ilvl="1">
      <w:start w:val="1"/>
      <w:pStyle w:val="2"/>
      <w:numFmt w:val="decimal"/>
      <w:lvlText w:val="%1.%2."/>
      <w:lvlJc w:val="left"/>
      <w:pPr>
        <w:tabs>
          <w:tab w:val="num" w:pos="709"/>
        </w:tabs>
        <w:ind w:left="709" w:hanging="709"/>
      </w:pPr>
    </w:lvl>
    <w:lvl w:ilvl="2">
      <w:start w:val="1"/>
      <w:pStyle w:val="3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pStyle w:val="4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pStyle w:val="5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pStyle w:val="6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pStyle w:val="7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pStyle w:val="8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pStyle w:val="9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2">
    <w:lvl w:ilvl="0">
      <w:start w:val="1"/>
      <w:numFmt w:val="bullet"/>
      <w:lvlText w:val="‒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"/>
      <w:lvlJc w:val="left"/>
      <w:pPr>
        <w:tabs>
          <w:tab w:val="num" w:pos="0"/>
        </w:tabs>
        <w:ind w:left="644" w:hanging="360"/>
      </w:pPr>
      <w:rPr>
        <w:rFonts w:ascii="Symbol" w:hAnsi="Symbol" w:cs="Symbol" w:hint="default"/>
        <w:sz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■"/>
      <w:lvlJc w:val="left"/>
      <w:pPr>
        <w:tabs>
          <w:tab w:val="num" w:pos="965"/>
        </w:tabs>
        <w:ind w:left="965" w:hanging="39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sid w:val="00626fa2"/>
    <w:pPr>
      <w:widowControl/>
      <w:suppressAutoHyphens w:val="true"/>
      <w:bidi w:val="0"/>
      <w:spacing w:lineRule="auto" w:line="240" w:before="0" w:after="0"/>
      <w:jc w:val="both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8"/>
      <w:szCs w:val="24"/>
      <w:lang w:val="ru-RU" w:eastAsia="en-US" w:bidi="ar-SA"/>
    </w:rPr>
  </w:style>
  <w:style w:type="paragraph" w:styleId="1">
    <w:name w:val="Heading 1"/>
    <w:basedOn w:val="Normal"/>
    <w:next w:val="Normal"/>
    <w:link w:val="10"/>
    <w:qFormat/>
    <w:rsid w:val="00626fa2"/>
    <w:pPr>
      <w:keepNext w:val="true"/>
      <w:keepLines/>
      <w:numPr>
        <w:ilvl w:val="0"/>
        <w:numId w:val="1"/>
      </w:numPr>
      <w:spacing w:before="240" w:after="240"/>
      <w:ind w:left="0" w:hanging="0"/>
      <w:outlineLvl w:val="0"/>
    </w:pPr>
    <w:rPr>
      <w:rFonts w:ascii="Calibri Light" w:hAnsi="Calibri Light" w:eastAsia="" w:cs="" w:asciiTheme="majorHAnsi" w:cstheme="majorBidi" w:eastAsiaTheme="majorEastAsia" w:hAnsiTheme="majorHAnsi"/>
      <w:b/>
      <w:bCs/>
      <w:caps/>
      <w:spacing w:val="4"/>
      <w:szCs w:val="28"/>
    </w:rPr>
  </w:style>
  <w:style w:type="paragraph" w:styleId="2">
    <w:name w:val="Heading 2"/>
    <w:basedOn w:val="Normal"/>
    <w:next w:val="Normal"/>
    <w:link w:val="20"/>
    <w:qFormat/>
    <w:rsid w:val="00626fa2"/>
    <w:pPr>
      <w:keepNext w:val="true"/>
      <w:keepLines/>
      <w:numPr>
        <w:ilvl w:val="1"/>
        <w:numId w:val="1"/>
      </w:numPr>
      <w:spacing w:before="240" w:after="120"/>
      <w:outlineLvl w:val="1"/>
    </w:pPr>
    <w:rPr>
      <w:rFonts w:ascii="Calibri Light" w:hAnsi="Calibri Light" w:eastAsia="Times New Roman" w:cs="" w:asciiTheme="majorHAnsi" w:cstheme="majorBidi" w:hAnsiTheme="majorHAnsi"/>
      <w:b/>
      <w:bCs/>
      <w:shd w:fill="FFFFFF" w:val="clear"/>
    </w:rPr>
  </w:style>
  <w:style w:type="paragraph" w:styleId="3">
    <w:name w:val="Heading 3"/>
    <w:basedOn w:val="Normal"/>
    <w:next w:val="Normal"/>
    <w:link w:val="30"/>
    <w:semiHidden/>
    <w:qFormat/>
    <w:rsid w:val="00626fa2"/>
    <w:pPr>
      <w:keepNext w:val="true"/>
      <w:keepLines/>
      <w:numPr>
        <w:ilvl w:val="2"/>
        <w:numId w:val="1"/>
      </w:numPr>
      <w:spacing w:before="120" w:after="0"/>
      <w:outlineLvl w:val="2"/>
    </w:pPr>
    <w:rPr>
      <w:rFonts w:ascii="Calibri Light" w:hAnsi="Calibri Light" w:eastAsia="" w:cs="" w:asciiTheme="majorHAnsi" w:cstheme="majorBidi" w:eastAsiaTheme="majorEastAsia" w:hAnsiTheme="majorHAnsi"/>
      <w:spacing w:val="4"/>
    </w:rPr>
  </w:style>
  <w:style w:type="paragraph" w:styleId="4">
    <w:name w:val="Heading 4"/>
    <w:basedOn w:val="Normal"/>
    <w:next w:val="Normal"/>
    <w:link w:val="40"/>
    <w:semiHidden/>
    <w:qFormat/>
    <w:rsid w:val="00626fa2"/>
    <w:pPr>
      <w:keepNext w:val="true"/>
      <w:keepLines/>
      <w:numPr>
        <w:ilvl w:val="3"/>
        <w:numId w:val="1"/>
      </w:numPr>
      <w:spacing w:before="120" w:after="0"/>
      <w:outlineLvl w:val="3"/>
    </w:pPr>
    <w:rPr>
      <w:rFonts w:ascii="Calibri Light" w:hAnsi="Calibri Light" w:eastAsia="" w:cs="" w:asciiTheme="majorHAnsi" w:cstheme="majorBidi" w:eastAsiaTheme="majorEastAsia" w:hAnsiTheme="majorHAnsi"/>
      <w:i/>
      <w:iCs/>
    </w:rPr>
  </w:style>
  <w:style w:type="paragraph" w:styleId="5">
    <w:name w:val="Heading 5"/>
    <w:basedOn w:val="Normal"/>
    <w:next w:val="Normal"/>
    <w:link w:val="50"/>
    <w:semiHidden/>
    <w:qFormat/>
    <w:rsid w:val="00626fa2"/>
    <w:pPr>
      <w:keepNext w:val="true"/>
      <w:keepLines/>
      <w:numPr>
        <w:ilvl w:val="4"/>
        <w:numId w:val="1"/>
      </w:numPr>
      <w:spacing w:before="120" w:after="0"/>
      <w:outlineLvl w:val="4"/>
    </w:pPr>
    <w:rPr>
      <w:rFonts w:ascii="Calibri Light" w:hAnsi="Calibri Light" w:eastAsia="" w:cs="" w:asciiTheme="majorHAnsi" w:cstheme="majorBidi" w:eastAsiaTheme="majorEastAsia" w:hAnsiTheme="majorHAnsi"/>
      <w:b/>
      <w:bCs/>
    </w:rPr>
  </w:style>
  <w:style w:type="paragraph" w:styleId="6">
    <w:name w:val="Heading 6"/>
    <w:basedOn w:val="Normal"/>
    <w:next w:val="Normal"/>
    <w:link w:val="60"/>
    <w:semiHidden/>
    <w:qFormat/>
    <w:rsid w:val="00626fa2"/>
    <w:pPr>
      <w:keepNext w:val="true"/>
      <w:keepLines/>
      <w:numPr>
        <w:ilvl w:val="5"/>
        <w:numId w:val="1"/>
      </w:numPr>
      <w:spacing w:before="120" w:after="0"/>
      <w:outlineLvl w:val="5"/>
    </w:pPr>
    <w:rPr>
      <w:rFonts w:ascii="Calibri Light" w:hAnsi="Calibri Light" w:eastAsia="" w:cs="" w:asciiTheme="majorHAnsi" w:cstheme="majorBidi" w:eastAsiaTheme="majorEastAsia" w:hAnsiTheme="majorHAnsi"/>
      <w:b/>
      <w:bCs/>
      <w:i/>
      <w:iCs/>
    </w:rPr>
  </w:style>
  <w:style w:type="paragraph" w:styleId="7">
    <w:name w:val="Heading 7"/>
    <w:basedOn w:val="Normal"/>
    <w:next w:val="Normal"/>
    <w:link w:val="70"/>
    <w:semiHidden/>
    <w:qFormat/>
    <w:rsid w:val="00626fa2"/>
    <w:pPr>
      <w:keepNext w:val="true"/>
      <w:keepLines/>
      <w:numPr>
        <w:ilvl w:val="6"/>
        <w:numId w:val="1"/>
      </w:numPr>
      <w:spacing w:before="120" w:after="0"/>
      <w:outlineLvl w:val="6"/>
    </w:pPr>
    <w:rPr>
      <w:i/>
      <w:iCs/>
    </w:rPr>
  </w:style>
  <w:style w:type="paragraph" w:styleId="8">
    <w:name w:val="Heading 8"/>
    <w:basedOn w:val="Normal"/>
    <w:next w:val="Normal"/>
    <w:link w:val="80"/>
    <w:semiHidden/>
    <w:qFormat/>
    <w:rsid w:val="00626fa2"/>
    <w:pPr>
      <w:keepNext w:val="true"/>
      <w:keepLines/>
      <w:numPr>
        <w:ilvl w:val="7"/>
        <w:numId w:val="1"/>
      </w:numPr>
      <w:spacing w:before="120" w:after="0"/>
      <w:outlineLvl w:val="7"/>
    </w:pPr>
    <w:rPr>
      <w:b/>
      <w:bCs/>
    </w:rPr>
  </w:style>
  <w:style w:type="paragraph" w:styleId="9">
    <w:name w:val="Heading 9"/>
    <w:basedOn w:val="Normal"/>
    <w:next w:val="Normal"/>
    <w:link w:val="90"/>
    <w:semiHidden/>
    <w:qFormat/>
    <w:rsid w:val="00626fa2"/>
    <w:pPr>
      <w:keepNext w:val="true"/>
      <w:keepLines/>
      <w:numPr>
        <w:ilvl w:val="8"/>
        <w:numId w:val="1"/>
      </w:numPr>
      <w:spacing w:before="120" w:after="0"/>
      <w:outlineLvl w:val="8"/>
    </w:pPr>
    <w:rPr>
      <w:i/>
      <w:i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626fa2"/>
    <w:rPr>
      <w:rFonts w:ascii="Calibri Light" w:hAnsi="Calibri Light" w:eastAsia="" w:cs="" w:asciiTheme="majorHAnsi" w:cstheme="majorBidi" w:eastAsiaTheme="majorEastAsia" w:hAnsiTheme="majorHAnsi"/>
      <w:b/>
      <w:bCs/>
      <w:caps/>
      <w:spacing w:val="4"/>
      <w:sz w:val="28"/>
      <w:szCs w:val="28"/>
    </w:rPr>
  </w:style>
  <w:style w:type="character" w:styleId="21" w:customStyle="1">
    <w:name w:val="Заголовок 2 Знак"/>
    <w:basedOn w:val="DefaultParagraphFont"/>
    <w:link w:val="2"/>
    <w:qFormat/>
    <w:rsid w:val="00626fa2"/>
    <w:rPr>
      <w:rFonts w:ascii="Calibri Light" w:hAnsi="Calibri Light" w:eastAsia="Times New Roman" w:cs="" w:asciiTheme="majorHAnsi" w:cstheme="majorBidi" w:hAnsiTheme="majorHAnsi"/>
      <w:b/>
      <w:bCs/>
      <w:sz w:val="28"/>
      <w:szCs w:val="24"/>
    </w:rPr>
  </w:style>
  <w:style w:type="character" w:styleId="31" w:customStyle="1">
    <w:name w:val="Заголовок 3 Знак"/>
    <w:basedOn w:val="DefaultParagraphFont"/>
    <w:link w:val="3"/>
    <w:uiPriority w:val="9"/>
    <w:qFormat/>
    <w:rsid w:val="00626fa2"/>
    <w:rPr>
      <w:rFonts w:ascii="Calibri Light" w:hAnsi="Calibri Light" w:eastAsia="" w:cs="" w:asciiTheme="majorHAnsi" w:cstheme="majorBidi" w:eastAsiaTheme="majorEastAsia" w:hAnsiTheme="majorHAnsi"/>
      <w:spacing w:val="4"/>
      <w:sz w:val="28"/>
      <w:szCs w:val="24"/>
    </w:rPr>
  </w:style>
  <w:style w:type="character" w:styleId="41" w:customStyle="1">
    <w:name w:val="Заголовок 4 Знак"/>
    <w:basedOn w:val="DefaultParagraphFont"/>
    <w:link w:val="4"/>
    <w:semiHidden/>
    <w:qFormat/>
    <w:rsid w:val="00626fa2"/>
    <w:rPr>
      <w:rFonts w:ascii="Calibri Light" w:hAnsi="Calibri Light" w:eastAsia="" w:cs="" w:asciiTheme="majorHAnsi" w:cstheme="majorBidi" w:eastAsiaTheme="majorEastAsia" w:hAnsiTheme="majorHAnsi"/>
      <w:i/>
      <w:iCs/>
      <w:sz w:val="28"/>
      <w:szCs w:val="24"/>
    </w:rPr>
  </w:style>
  <w:style w:type="character" w:styleId="51" w:customStyle="1">
    <w:name w:val="Заголовок 5 Знак"/>
    <w:basedOn w:val="DefaultParagraphFont"/>
    <w:link w:val="5"/>
    <w:semiHidden/>
    <w:qFormat/>
    <w:rsid w:val="00626fa2"/>
    <w:rPr>
      <w:rFonts w:ascii="Calibri Light" w:hAnsi="Calibri Light" w:eastAsia="" w:cs="" w:asciiTheme="majorHAnsi" w:cstheme="majorBidi" w:eastAsiaTheme="majorEastAsia" w:hAnsiTheme="majorHAnsi"/>
      <w:b/>
      <w:bCs/>
      <w:sz w:val="28"/>
      <w:szCs w:val="24"/>
    </w:rPr>
  </w:style>
  <w:style w:type="character" w:styleId="61" w:customStyle="1">
    <w:name w:val="Заголовок 6 Знак"/>
    <w:basedOn w:val="DefaultParagraphFont"/>
    <w:link w:val="6"/>
    <w:semiHidden/>
    <w:qFormat/>
    <w:rsid w:val="00626fa2"/>
    <w:rPr>
      <w:rFonts w:ascii="Calibri Light" w:hAnsi="Calibri Light" w:eastAsia="" w:cs="" w:asciiTheme="majorHAnsi" w:cstheme="majorBidi" w:eastAsiaTheme="majorEastAsia" w:hAnsiTheme="majorHAnsi"/>
      <w:b/>
      <w:bCs/>
      <w:i/>
      <w:iCs/>
      <w:sz w:val="28"/>
      <w:szCs w:val="24"/>
    </w:rPr>
  </w:style>
  <w:style w:type="character" w:styleId="71" w:customStyle="1">
    <w:name w:val="Заголовок 7 Знак"/>
    <w:basedOn w:val="DefaultParagraphFont"/>
    <w:link w:val="7"/>
    <w:semiHidden/>
    <w:qFormat/>
    <w:rsid w:val="00626fa2"/>
    <w:rPr>
      <w:i/>
      <w:iCs/>
      <w:sz w:val="28"/>
      <w:szCs w:val="24"/>
    </w:rPr>
  </w:style>
  <w:style w:type="character" w:styleId="81" w:customStyle="1">
    <w:name w:val="Заголовок 8 Знак"/>
    <w:basedOn w:val="DefaultParagraphFont"/>
    <w:link w:val="8"/>
    <w:semiHidden/>
    <w:qFormat/>
    <w:rsid w:val="00626fa2"/>
    <w:rPr>
      <w:b/>
      <w:bCs/>
      <w:sz w:val="28"/>
      <w:szCs w:val="24"/>
    </w:rPr>
  </w:style>
  <w:style w:type="character" w:styleId="91" w:customStyle="1">
    <w:name w:val="Заголовок 9 Знак"/>
    <w:basedOn w:val="DefaultParagraphFont"/>
    <w:link w:val="9"/>
    <w:semiHidden/>
    <w:qFormat/>
    <w:rsid w:val="00626fa2"/>
    <w:rPr>
      <w:i/>
      <w:iCs/>
      <w:sz w:val="28"/>
      <w:szCs w:val="24"/>
    </w:rPr>
  </w:style>
  <w:style w:type="character" w:styleId="Style5" w:customStyle="1">
    <w:name w:val="Подзаголовок Знак"/>
    <w:basedOn w:val="DefaultParagraphFont"/>
    <w:link w:val="a6"/>
    <w:uiPriority w:val="11"/>
    <w:qFormat/>
    <w:rsid w:val="00626fa2"/>
    <w:rPr>
      <w:rFonts w:eastAsia="Times New Roman"/>
      <w:b/>
      <w:bCs/>
      <w:color w:val="000000" w:themeColor="text1"/>
      <w:sz w:val="28"/>
      <w:szCs w:val="24"/>
      <w:lang w:eastAsia="ru-RU"/>
    </w:rPr>
  </w:style>
  <w:style w:type="character" w:styleId="Style6" w:customStyle="1">
    <w:name w:val="Основной Знак"/>
    <w:basedOn w:val="DefaultParagraphFont"/>
    <w:link w:val="a8"/>
    <w:qFormat/>
    <w:rsid w:val="00626fa2"/>
    <w:rPr>
      <w:sz w:val="28"/>
      <w:szCs w:val="24"/>
    </w:rPr>
  </w:style>
  <w:style w:type="character" w:styleId="Style7" w:customStyle="1">
    <w:name w:val="Список_тире Знак"/>
    <w:basedOn w:val="DefaultParagraphFont"/>
    <w:link w:val="a"/>
    <w:uiPriority w:val="3"/>
    <w:qFormat/>
    <w:rsid w:val="00626fa2"/>
    <w:rPr>
      <w:sz w:val="28"/>
      <w:szCs w:val="24"/>
    </w:rPr>
  </w:style>
  <w:style w:type="character" w:styleId="Style8" w:customStyle="1">
    <w:name w:val="Список_кружок Знак"/>
    <w:basedOn w:val="Style7"/>
    <w:link w:val="a1"/>
    <w:uiPriority w:val="4"/>
    <w:qFormat/>
    <w:rsid w:val="00626fa2"/>
    <w:rPr>
      <w:sz w:val="28"/>
      <w:szCs w:val="24"/>
    </w:rPr>
  </w:style>
  <w:style w:type="character" w:styleId="Extendedtextshort" w:customStyle="1">
    <w:name w:val="extendedtext-short"/>
    <w:basedOn w:val="DefaultParagraphFont"/>
    <w:qFormat/>
    <w:rsid w:val="004908eb"/>
    <w:rPr/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Noto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Noto Sans Devanagari"/>
    </w:rPr>
  </w:style>
  <w:style w:type="paragraph" w:styleId="Style14">
    <w:name w:val="Subtitle"/>
    <w:basedOn w:val="Normal"/>
    <w:next w:val="Normal"/>
    <w:link w:val="a7"/>
    <w:uiPriority w:val="11"/>
    <w:qFormat/>
    <w:rsid w:val="00626fa2"/>
    <w:pPr>
      <w:keepNext w:val="true"/>
      <w:spacing w:before="0" w:after="120"/>
      <w:ind w:left="709" w:hanging="0"/>
    </w:pPr>
    <w:rPr>
      <w:rFonts w:eastAsia="Times New Roman"/>
      <w:b/>
      <w:bCs/>
      <w:color w:val="000000" w:themeColor="text1"/>
      <w:lang w:eastAsia="ru-RU"/>
    </w:rPr>
  </w:style>
  <w:style w:type="paragraph" w:styleId="Style15" w:customStyle="1">
    <w:name w:val="Основной"/>
    <w:basedOn w:val="Normal"/>
    <w:link w:val="a9"/>
    <w:qFormat/>
    <w:rsid w:val="00626fa2"/>
    <w:pPr>
      <w:spacing w:before="0" w:after="120"/>
      <w:ind w:firstLine="709"/>
    </w:pPr>
    <w:rPr/>
  </w:style>
  <w:style w:type="paragraph" w:styleId="Style16" w:customStyle="1">
    <w:name w:val="Список_тире"/>
    <w:basedOn w:val="Normal"/>
    <w:link w:val="aa"/>
    <w:uiPriority w:val="3"/>
    <w:qFormat/>
    <w:rsid w:val="00626fa2"/>
    <w:pPr>
      <w:numPr>
        <w:ilvl w:val="0"/>
        <w:numId w:val="3"/>
      </w:numPr>
      <w:spacing w:before="0" w:after="120"/>
    </w:pPr>
    <w:rPr/>
  </w:style>
  <w:style w:type="paragraph" w:styleId="Style17" w:customStyle="1">
    <w:name w:val="Список_кружок"/>
    <w:basedOn w:val="Style16"/>
    <w:link w:val="ab"/>
    <w:uiPriority w:val="4"/>
    <w:qFormat/>
    <w:rsid w:val="00626fa2"/>
    <w:pPr>
      <w:numPr>
        <w:ilvl w:val="0"/>
        <w:numId w:val="2"/>
      </w:numPr>
      <w:ind w:left="1276" w:hanging="283"/>
    </w:pPr>
    <w:rPr/>
  </w:style>
  <w:style w:type="paragraph" w:styleId="Style18" w:customStyle="1">
    <w:name w:val="Список квадрат"/>
    <w:basedOn w:val="Style15"/>
    <w:qFormat/>
    <w:rsid w:val="004908eb"/>
    <w:pPr>
      <w:numPr>
        <w:ilvl w:val="0"/>
        <w:numId w:val="4"/>
      </w:numPr>
      <w:spacing w:lineRule="auto" w:line="276"/>
    </w:pPr>
    <w:rPr>
      <w:rFonts w:ascii="Times New Roman" w:hAnsi="Times New Roman" w:eastAsia="Times New Roman" w:cs="Times New Roman"/>
      <w:szCs w:val="28"/>
      <w:lang w:eastAsia="ru-RU"/>
    </w:rPr>
  </w:style>
  <w:style w:type="paragraph" w:styleId="ListParagraph">
    <w:name w:val="List Paragraph"/>
    <w:basedOn w:val="Normal"/>
    <w:uiPriority w:val="34"/>
    <w:qFormat/>
    <w:rsid w:val="00cc6a66"/>
    <w:pPr>
      <w:spacing w:lineRule="auto" w:line="259" w:before="0" w:after="160"/>
      <w:ind w:left="720" w:hanging="0"/>
      <w:contextualSpacing/>
      <w:jc w:val="left"/>
    </w:pPr>
    <w:rPr>
      <w:sz w:val="22"/>
      <w:szCs w:val="2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4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4"/>
    <w:uiPriority w:val="39"/>
    <w:rsid w:val="004908eb"/>
    <w:pPr>
      <w:spacing w:after="0" w:line="240" w:lineRule="auto"/>
      <w:jc w:val="both"/>
    </w:pPr>
    <w:rPr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Application>LibreOffice/7.1.7.2$Linux_X86_64 LibreOffice_project/c6a4e3954236145e2acb0b65f68614365aeee33f</Application>
  <AppVersion>15.0000</AppVersion>
  <Pages>2</Pages>
  <Words>323</Words>
  <Characters>2117</Characters>
  <CharactersWithSpaces>2403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2022-04-07T10:47:00Z</dcterms:created>
  <dc:creator>Янович Юлия Михайловна</dc:creator>
  <dc:description/>
  <dc:language>ru-RU</dc:language>
  <cp:lastModifiedBy/>
  <dcterms:modified xsi:type="dcterms:W3CDTF">2022-05-17T10:49:29Z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