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6078"/>
        <w:gridCol w:w="442"/>
        <w:gridCol w:w="1447"/>
        <w:gridCol w:w="446"/>
        <w:gridCol w:w="1224"/>
      </w:tblGrid>
      <w:tr>
        <w:trPr>
          <w:trHeight w:val="327" w:hRule="atLeast"/>
        </w:trPr>
        <w:tc>
          <w:tcPr>
            <w:tcW w:w="6078" w:type="dxa"/>
            <w:vMerge w:val="restart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9" w:type="dxa"/>
            <w:gridSpan w:val="4"/>
            <w:tcBorders/>
          </w:tcPr>
          <w:p>
            <w:pPr>
              <w:pStyle w:val="Normal"/>
              <w:widowControl w:val="false"/>
              <w:spacing w:before="48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</w:tc>
      </w:tr>
      <w:tr>
        <w:trPr>
          <w:trHeight w:val="304" w:hRule="atLeast"/>
        </w:trPr>
        <w:tc>
          <w:tcPr>
            <w:tcW w:w="6078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</w:t>
              <w:br/>
              <w:t>АНО ДПО «Техническая академия Росатома»</w:t>
            </w:r>
          </w:p>
        </w:tc>
      </w:tr>
      <w:tr>
        <w:trPr>
          <w:trHeight w:val="326" w:hRule="atLeast"/>
        </w:trPr>
        <w:tc>
          <w:tcPr>
            <w:tcW w:w="6078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2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</w:p>
        </w:tc>
        <w:tc>
          <w:tcPr>
            <w:tcW w:w="144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18.11.2021</w:t>
            </w:r>
          </w:p>
        </w:tc>
        <w:tc>
          <w:tcPr>
            <w:tcW w:w="446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224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3885-П</w:t>
            </w:r>
            <w:bookmarkStart w:id="0" w:name="_GoBack"/>
            <w:bookmarkEnd w:id="0"/>
          </w:p>
        </w:tc>
      </w:tr>
    </w:tbl>
    <w:p>
      <w:pPr>
        <w:pStyle w:val="Normal"/>
        <w:spacing w:lineRule="auto" w:line="360" w:before="960" w:after="600"/>
        <w:jc w:val="center"/>
        <w:rPr>
          <w:b/>
          <w:b/>
          <w:caps/>
          <w:spacing w:val="30"/>
          <w:sz w:val="32"/>
          <w:szCs w:val="32"/>
        </w:rPr>
      </w:pPr>
      <w:r>
        <w:rPr>
          <w:b/>
          <w:caps/>
          <w:spacing w:val="30"/>
          <w:sz w:val="36"/>
          <w:szCs w:val="36"/>
        </w:rPr>
        <w:t>положение</w:t>
      </w:r>
      <w:r>
        <w:rPr>
          <w:b/>
          <w:spacing w:val="30"/>
          <w:sz w:val="32"/>
          <w:szCs w:val="32"/>
        </w:rPr>
        <w:br/>
      </w:r>
      <w:r>
        <w:rPr>
          <w:b/>
          <w:sz w:val="32"/>
          <w:szCs w:val="36"/>
        </w:rPr>
        <w:t>о комиссии по урегулированию споров</w:t>
        <w:br/>
        <w:t>между участниками образовательных отношений</w:t>
      </w:r>
    </w:p>
    <w:p>
      <w:pPr>
        <w:pStyle w:val="Normal"/>
        <w:spacing w:before="0" w:after="600"/>
        <w:jc w:val="center"/>
        <w:rPr/>
      </w:pPr>
      <w:bookmarkStart w:id="1" w:name="OLE_LINK2"/>
      <w:bookmarkStart w:id="2" w:name="OLE_LINK1"/>
      <w:r>
        <w:rPr/>
        <w:t>ПК 006-2021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851" w:gutter="0" w:header="1134" w:top="3119" w:footer="567" w:bottom="1134"/>
          <w:pgNumType w:fmt="upperRoman"/>
          <w:formProt w:val="false"/>
          <w:textDirection w:val="lrTb"/>
          <w:docGrid w:type="default" w:linePitch="100" w:charSpace="0"/>
        </w:sectPr>
        <w:pStyle w:val="Normal"/>
        <w:spacing w:before="600" w:after="0"/>
        <w:jc w:val="center"/>
        <w:rPr>
          <w:szCs w:val="28"/>
        </w:rPr>
      </w:pPr>
      <w:r>
        <w:rPr>
          <w:caps/>
          <w:szCs w:val="28"/>
        </w:rPr>
        <w:t>р</w:t>
      </w:r>
      <w:r>
        <w:rPr>
          <w:szCs w:val="28"/>
        </w:rPr>
        <w:t>едакция</w:t>
      </w:r>
      <w:bookmarkEnd w:id="1"/>
      <w:bookmarkEnd w:id="2"/>
      <w:r>
        <w:rPr>
          <w:szCs w:val="28"/>
        </w:rPr>
        <w:t xml:space="preserve"> 2</w:t>
      </w:r>
    </w:p>
    <w:p>
      <w:pPr>
        <w:pStyle w:val="Normal"/>
        <w:spacing w:before="360" w:after="480"/>
        <w:jc w:val="center"/>
        <w:rPr>
          <w:b/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Лист утверждения и согласования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1484"/>
        <w:gridCol w:w="3339"/>
        <w:gridCol w:w="2079"/>
        <w:gridCol w:w="1250"/>
        <w:gridCol w:w="1485"/>
      </w:tblGrid>
      <w:tr>
        <w:trPr>
          <w:trHeight w:val="925" w:hRule="atLeast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 xml:space="preserve">Должность, </w:t>
              <w:br/>
              <w:t>подразделение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Фамилия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Дата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Подпись</w:t>
            </w:r>
          </w:p>
        </w:tc>
      </w:tr>
      <w:tr>
        <w:trPr>
          <w:trHeight w:val="785" w:hRule="atLeast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Разработал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учебного отдела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</w:rPr>
              <w:t>Янович Ю.М.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85" w:hRule="atLeast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Согласовал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группы документации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Бажина Н.П.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85" w:hRule="atLeast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Согласовал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аппарата ректора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</w:rPr>
              <w:t>Бурлов С.В.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85" w:hRule="atLeast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Согласовал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по правовым вопросам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</w:rPr>
              <w:t>Поливода Б.И.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85" w:hRule="atLeast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Согласовал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по качеству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Домнена С.Ю.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86" w:hRule="atLeast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Согласовал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по сопровождению отраслевого обучения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</w:rPr>
              <w:t>Сучков Д.И.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86" w:hRule="atLeast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Согласовал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  <w:szCs w:val="24"/>
              </w:rPr>
              <w:t>Первый проректор по основной деятельности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Аспидов В.В.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86" w:hRule="atLeast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Утвердил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Ректор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Селезнёв Ю.Н.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tabs>
          <w:tab w:val="clear" w:pos="720"/>
          <w:tab w:val="left" w:pos="1388" w:leader="none"/>
          <w:tab w:val="left" w:pos="4787" w:leader="none"/>
          <w:tab w:val="left" w:pos="6773" w:leader="none"/>
          <w:tab w:val="left" w:pos="8332" w:leader="none"/>
        </w:tabs>
        <w:spacing w:before="240" w:after="36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</w:rPr>
            <w:instrText xml:space="preserve"> TOC \z \o "1-1" </w:instrText>
          </w:r>
          <w:r>
            <w:rPr>
              <w:webHidden/>
            </w:rPr>
            <w:fldChar w:fldCharType="separate"/>
          </w:r>
          <w:hyperlink w:anchor="_Toc87535003">
            <w:r>
              <w:rPr>
                <w:webHidden/>
              </w:rPr>
              <w:t>1</w:t>
            </w:r>
            <w:r>
              <w:rPr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/>
              <w:t>Назначение и область применения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_Toc87535003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87535004">
            <w:r>
              <w:rPr>
                <w:webHidden/>
              </w:rPr>
              <w:t>2</w:t>
            </w:r>
            <w:r>
              <w:rPr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/>
              <w:t>Термины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_Toc87535004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87535005">
            <w:r>
              <w:rPr>
                <w:webHidden/>
              </w:rPr>
              <w:t>3</w:t>
            </w:r>
            <w:r>
              <w:rPr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/>
              <w:t>Общие положения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_Toc87535005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87535006">
            <w:r>
              <w:rPr>
                <w:webHidden/>
              </w:rPr>
              <w:t>4</w:t>
            </w:r>
            <w:r>
              <w:rPr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/>
              <w:t>Функции и полномочия Комиссии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_Toc87535006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87535007">
            <w:r>
              <w:rPr>
                <w:webHidden/>
              </w:rPr>
              <w:t>5</w:t>
            </w:r>
            <w:r>
              <w:rPr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/>
              <w:t>Порядок формирования и полномочия участников Комиссии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_Toc87535007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87535008">
            <w:r>
              <w:rPr>
                <w:webHidden/>
              </w:rPr>
              <w:t>6</w:t>
            </w:r>
            <w:r>
              <w:rPr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/>
              <w:t>Организация работы Комиссии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_Toc87535008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  <w:r>
            <w:rPr>
              <w:vanish w:val="false"/>
            </w:rPr>
            <w:fldChar w:fldCharType="end"/>
          </w:r>
        </w:p>
      </w:sdtContent>
    </w:sdt>
    <w:p>
      <w:pPr>
        <w:pStyle w:val="Normal"/>
        <w:spacing w:before="360" w:after="240"/>
        <w:jc w:val="center"/>
        <w:rPr/>
      </w:pPr>
      <w:r>
        <w:rPr/>
      </w:r>
      <w:r>
        <w:br w:type="page"/>
      </w:r>
    </w:p>
    <w:p>
      <w:pPr>
        <w:pStyle w:val="1"/>
        <w:rPr/>
      </w:pPr>
      <w:bookmarkStart w:id="3" w:name="_Toc67917288"/>
      <w:bookmarkStart w:id="4" w:name="_Toc148841515"/>
      <w:bookmarkStart w:id="5" w:name="_Toc122510923"/>
      <w:bookmarkStart w:id="6" w:name="_Toc55716057"/>
      <w:bookmarkStart w:id="7" w:name="_Toc55716028"/>
      <w:bookmarkStart w:id="8" w:name="_Toc55715958"/>
      <w:bookmarkStart w:id="9" w:name="_Toc11480916"/>
      <w:bookmarkStart w:id="10" w:name="_Toc436705385"/>
      <w:bookmarkStart w:id="11" w:name="_Hlt434745479"/>
      <w:bookmarkStart w:id="12" w:name="_Toc87535003"/>
      <w:bookmarkStart w:id="13" w:name="_Toc415041238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rPr/>
        <w:t>Назначение и область применения</w:t>
      </w:r>
      <w:bookmarkEnd w:id="12"/>
      <w:bookmarkEnd w:id="13"/>
    </w:p>
    <w:p>
      <w:pPr>
        <w:pStyle w:val="23"/>
        <w:numPr>
          <w:ilvl w:val="1"/>
          <w:numId w:val="1"/>
        </w:numPr>
        <w:rPr/>
      </w:pPr>
      <w:bookmarkStart w:id="14" w:name="_Toc154222473"/>
      <w:bookmarkStart w:id="15" w:name="_Toc143839565"/>
      <w:bookmarkStart w:id="16" w:name="_Toc26671535"/>
      <w:bookmarkStart w:id="17" w:name="_Toc25480741"/>
      <w:bookmarkStart w:id="18" w:name="_Toc25478854"/>
      <w:bookmarkEnd w:id="14"/>
      <w:bookmarkEnd w:id="15"/>
      <w:bookmarkEnd w:id="16"/>
      <w:bookmarkEnd w:id="17"/>
      <w:bookmarkEnd w:id="18"/>
      <w:r>
        <w:rPr/>
        <w:t>Настоящее Положение устанавливает порядок формирования и работы, функции, обязанности и полномочия комиссии по урегулированию споров между участниками образовательных отношений.</w:t>
      </w:r>
    </w:p>
    <w:p>
      <w:pPr>
        <w:pStyle w:val="23"/>
        <w:numPr>
          <w:ilvl w:val="1"/>
          <w:numId w:val="1"/>
        </w:numPr>
        <w:rPr/>
      </w:pPr>
      <w:r>
        <w:rPr/>
        <w:t>Настоящее Положение разработано на основе Федерального закона от 29.12.2012 № 273-ФЗ «Об образовании в Российской Федерации».</w:t>
      </w:r>
    </w:p>
    <w:p>
      <w:pPr>
        <w:pStyle w:val="1"/>
        <w:rPr/>
      </w:pPr>
      <w:bookmarkStart w:id="19" w:name="_Toc154222473"/>
      <w:bookmarkStart w:id="20" w:name="_Toc143839565"/>
      <w:bookmarkStart w:id="21" w:name="_Toc26671535"/>
      <w:bookmarkStart w:id="22" w:name="_Toc25480741"/>
      <w:bookmarkStart w:id="23" w:name="_Toc25478854"/>
      <w:bookmarkStart w:id="24" w:name="_Toc87535004"/>
      <w:bookmarkEnd w:id="19"/>
      <w:bookmarkEnd w:id="20"/>
      <w:bookmarkEnd w:id="21"/>
      <w:bookmarkEnd w:id="22"/>
      <w:bookmarkEnd w:id="23"/>
      <w:r>
        <w:rPr/>
        <w:t>Термины и сокращения</w:t>
      </w:r>
      <w:bookmarkEnd w:id="24"/>
    </w:p>
    <w:p>
      <w:pPr>
        <w:pStyle w:val="23"/>
        <w:numPr>
          <w:ilvl w:val="1"/>
          <w:numId w:val="1"/>
        </w:numPr>
        <w:rPr/>
      </w:pPr>
      <w:r>
        <w:rPr/>
        <w:t>В настоящем документе применены следующие термины с соответствующими определениями: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877"/>
        <w:gridCol w:w="6759"/>
      </w:tblGrid>
      <w:tr>
        <w:trPr>
          <w:tblHeader w:val="true"/>
          <w:trHeight w:val="200" w:hRule="atLeast"/>
        </w:trPr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Термин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firstLine="7"/>
              <w:jc w:val="center"/>
              <w:rPr>
                <w:b/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Определение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/>
              <w:t xml:space="preserve">АНО ДПО «Техническая академия Росатома», </w:t>
            </w:r>
            <w:r>
              <w:rPr>
                <w:szCs w:val="28"/>
              </w:rPr>
              <w:t>Академия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ind w:firstLine="7"/>
              <w:jc w:val="both"/>
              <w:rPr/>
            </w:pPr>
            <w:r>
              <w:rPr/>
              <w:t>Автономная некоммерческая организация дополнительного профессионального образования</w:t>
            </w:r>
          </w:p>
          <w:p>
            <w:pPr>
              <w:pStyle w:val="Normal"/>
              <w:keepLines/>
              <w:widowControl w:val="false"/>
              <w:ind w:firstLine="7"/>
              <w:rPr>
                <w:szCs w:val="28"/>
              </w:rPr>
            </w:pPr>
            <w:r>
              <w:rPr/>
              <w:t>«Техническая академия Росатома»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Комиссия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ind w:firstLine="7"/>
              <w:jc w:val="both"/>
              <w:rPr/>
            </w:pPr>
            <w:r>
              <w:rPr/>
              <w:t>Комиссия по урегулированию споров между участниками образовательных отношений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Ректор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ind w:firstLine="7"/>
              <w:jc w:val="both"/>
              <w:rPr/>
            </w:pPr>
            <w:r>
              <w:rPr/>
              <w:t>Ректор АНО ДПО «Техническая академия Росатома»</w:t>
            </w:r>
          </w:p>
        </w:tc>
      </w:tr>
    </w:tbl>
    <w:p>
      <w:pPr>
        <w:pStyle w:val="23"/>
        <w:numPr>
          <w:ilvl w:val="1"/>
          <w:numId w:val="1"/>
        </w:numPr>
        <w:rPr/>
      </w:pPr>
      <w:r>
        <w:rPr/>
        <w:t>В настоящем документе используются следующие сокращения (обозначения) с соответствующими расшифровками: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877"/>
        <w:gridCol w:w="6759"/>
      </w:tblGrid>
      <w:tr>
        <w:trPr>
          <w:tblHeader w:val="true"/>
          <w:trHeight w:val="200" w:hRule="atLeast"/>
        </w:trPr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Cs w:val="28"/>
              </w:rPr>
            </w:pPr>
            <w:r>
              <w:rPr>
                <w:b/>
                <w:szCs w:val="28"/>
              </w:rPr>
              <w:t xml:space="preserve">Сокращение </w:t>
              <w:br/>
              <w:t>(обозначение)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/>
                <w:szCs w:val="28"/>
              </w:rPr>
            </w:pPr>
            <w:r>
              <w:rPr>
                <w:b/>
                <w:szCs w:val="28"/>
              </w:rPr>
              <w:t>Расшифровка</w:t>
              <w:br/>
              <w:t>(пояснение)</w:t>
            </w:r>
          </w:p>
        </w:tc>
      </w:tr>
      <w:tr>
        <w:trPr>
          <w:trHeight w:val="306" w:hRule="atLeast"/>
        </w:trPr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ЛНА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ind w:firstLine="7"/>
              <w:rPr/>
            </w:pPr>
            <w:r>
              <w:rPr/>
              <w:t>Локальные нормативные акты</w:t>
            </w:r>
          </w:p>
        </w:tc>
      </w:tr>
      <w:tr>
        <w:trPr>
          <w:trHeight w:val="306" w:hRule="atLeast"/>
        </w:trPr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УО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ind w:firstLine="7"/>
              <w:rPr>
                <w:szCs w:val="28"/>
              </w:rPr>
            </w:pPr>
            <w:r>
              <w:rPr/>
              <w:t>Учебный отдел</w:t>
            </w:r>
          </w:p>
        </w:tc>
      </w:tr>
    </w:tbl>
    <w:p>
      <w:pPr>
        <w:pStyle w:val="1"/>
        <w:rPr/>
      </w:pPr>
      <w:bookmarkStart w:id="25" w:name="_Toc87535005"/>
      <w:r>
        <w:rPr/>
        <w:t>Общие положения</w:t>
      </w:r>
      <w:bookmarkEnd w:id="25"/>
    </w:p>
    <w:p>
      <w:pPr>
        <w:pStyle w:val="23"/>
        <w:numPr>
          <w:ilvl w:val="1"/>
          <w:numId w:val="1"/>
        </w:numPr>
        <w:rPr/>
      </w:pPr>
      <w:r>
        <w:rPr/>
        <w:t>Комиссия предназначена для урегулирования разногласий между участниками образовательных отношений по вопросам реализации права на дополнительное профессиональное образование, в том числе в случаях возникновения конфликта интересов работника Академии и обучающегося, применения ЛНА, обжалования решений о применении к обучающимся дисциплинарного взыскания.</w:t>
      </w:r>
    </w:p>
    <w:p>
      <w:pPr>
        <w:pStyle w:val="23"/>
        <w:numPr>
          <w:ilvl w:val="1"/>
          <w:numId w:val="1"/>
        </w:numPr>
        <w:rPr/>
      </w:pPr>
      <w:r>
        <w:rPr/>
        <w:t>Комиссия в своей деятельности руководствуется Конституцией Российской Федерации, Федеральным законом «Об образовании в Российской Федерации»,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ЛНА Академии и настоящим Положением.</w:t>
      </w:r>
    </w:p>
    <w:p>
      <w:pPr>
        <w:pStyle w:val="23"/>
        <w:numPr>
          <w:ilvl w:val="1"/>
          <w:numId w:val="1"/>
        </w:numPr>
        <w:rPr/>
      </w:pPr>
      <w:r>
        <w:rPr/>
        <w:t>Обучающиеся вправе самостоятельно или через заказчика услуг обращаться в комиссию по урегулированию споров между участниками образовательных отношений.</w:t>
      </w:r>
    </w:p>
    <w:p>
      <w:pPr>
        <w:pStyle w:val="23"/>
        <w:numPr>
          <w:ilvl w:val="1"/>
          <w:numId w:val="1"/>
        </w:numPr>
        <w:rPr/>
      </w:pPr>
      <w:r>
        <w:rPr/>
        <w:t>Организация и ведение делопроизводства, связанного с работой Комиссии, возлагается на УО.</w:t>
      </w:r>
    </w:p>
    <w:p>
      <w:pPr>
        <w:pStyle w:val="1"/>
        <w:rPr/>
      </w:pPr>
      <w:bookmarkStart w:id="26" w:name="_Toc67917288"/>
      <w:bookmarkStart w:id="27" w:name="_Toc148841515"/>
      <w:bookmarkStart w:id="28" w:name="_Toc122510923"/>
      <w:bookmarkStart w:id="29" w:name="_Toc55716057"/>
      <w:bookmarkStart w:id="30" w:name="_Toc55716028"/>
      <w:bookmarkStart w:id="31" w:name="_Toc55715958"/>
      <w:bookmarkStart w:id="32" w:name="_Toc11480916"/>
      <w:bookmarkStart w:id="33" w:name="_Toc436705385"/>
      <w:bookmarkStart w:id="34" w:name="_Hlt434745479"/>
      <w:bookmarkStart w:id="35" w:name="_Toc87535006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/>
        <w:t>Функции и полномочия Комиссии</w:t>
      </w:r>
      <w:bookmarkEnd w:id="35"/>
    </w:p>
    <w:p>
      <w:pPr>
        <w:pStyle w:val="23"/>
        <w:numPr>
          <w:ilvl w:val="1"/>
          <w:numId w:val="1"/>
        </w:numPr>
        <w:rPr/>
      </w:pPr>
      <w:r>
        <w:rPr/>
        <w:t>Комиссия осуществляет следующие функции: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рассмотрение обращений участников образовательных отношений по вопросам реализации права на дополнительное профессиональное образование;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осуществление анализа материалов, представленных участниками образовательных отношений;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урегулирование разногласий между участниками образовательных отношений;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принятие решений по результатам рассмотрения обращений.</w:t>
      </w:r>
    </w:p>
    <w:p>
      <w:pPr>
        <w:pStyle w:val="23"/>
        <w:numPr>
          <w:ilvl w:val="1"/>
          <w:numId w:val="1"/>
        </w:numPr>
        <w:rPr/>
      </w:pPr>
      <w:r>
        <w:rPr/>
        <w:t>Комиссия имеет право: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запрашивать у участников образовательных отношений необходимые для ее деятельности документы, материалы и информацию;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устанавливать сроки представления запрашиваемых документов, материалов и информации;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приглашать участников образовательных отношений для дачи разъяснений.</w:t>
      </w:r>
    </w:p>
    <w:p>
      <w:pPr>
        <w:pStyle w:val="23"/>
        <w:numPr>
          <w:ilvl w:val="1"/>
          <w:numId w:val="1"/>
        </w:numPr>
        <w:rPr/>
      </w:pPr>
      <w:r>
        <w:rPr/>
        <w:t>Комиссия обязана: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объективно, полно и всесторонне рассматривать обращение участника образовательных отношений;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обеспечивать соблюдение прав и свобод участников образовательных отношений;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стремиться к урегулированию разногласий между участниками образовательных отношений;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принимать решение в соответствии с законодательством Российской Федерации об образовании, ЛНА Академии.</w:t>
      </w:r>
    </w:p>
    <w:p>
      <w:pPr>
        <w:pStyle w:val="1"/>
        <w:rPr/>
      </w:pPr>
      <w:bookmarkStart w:id="36" w:name="_Toc87535007"/>
      <w:r>
        <w:rPr/>
        <w:t>Порядок формирования и полномочия участников Комиссии</w:t>
      </w:r>
      <w:bookmarkEnd w:id="36"/>
    </w:p>
    <w:p>
      <w:pPr>
        <w:pStyle w:val="23"/>
        <w:numPr>
          <w:ilvl w:val="1"/>
          <w:numId w:val="1"/>
        </w:numPr>
        <w:rPr/>
      </w:pPr>
      <w:r>
        <w:rPr/>
        <w:t>Основанием для создания Комиссии является письменное обращение на имя Ректора от участника образовательных отношений.</w:t>
      </w:r>
    </w:p>
    <w:p>
      <w:pPr>
        <w:pStyle w:val="3"/>
        <w:rPr/>
      </w:pPr>
      <w:r>
        <w:rPr/>
        <w:t>Обращение оформляется в произвольной форме с указанием контактной информации заявителя и заказчика обучения.</w:t>
      </w:r>
    </w:p>
    <w:p>
      <w:pPr>
        <w:pStyle w:val="3"/>
        <w:rPr/>
      </w:pPr>
      <w:r>
        <w:rPr/>
        <w:t xml:space="preserve">Обращение регистрируется в соответствующем журнале. Журнал ведется в электронном виде в формате </w:t>
      </w:r>
      <w:r>
        <w:rPr>
          <w:lang w:val="en-US"/>
        </w:rPr>
        <w:t>Excel</w:t>
      </w:r>
      <w:r>
        <w:rPr/>
        <w:t>. Журнал содержит информацию о реквизитах протоколов, писем, сроках отправки материалов и писем, статусах обращений и т.д. Ответственный – УО.</w:t>
      </w:r>
    </w:p>
    <w:p>
      <w:pPr>
        <w:pStyle w:val="23"/>
        <w:numPr>
          <w:ilvl w:val="1"/>
          <w:numId w:val="1"/>
        </w:numPr>
        <w:rPr/>
      </w:pPr>
      <w:r>
        <w:rPr/>
        <w:t>Комиссия формируется приказом Ректора из числа представителей Академии и заказчика обучения в течение 10 рабочих дней со дня поступления обращения. Для подготовки приказа о рассмотрении обращения УО запрашивает у заказчика обучения данные о кандидатах, которых необходимо включить в состав Комиссии.</w:t>
      </w:r>
    </w:p>
    <w:p>
      <w:pPr>
        <w:pStyle w:val="23"/>
        <w:numPr>
          <w:ilvl w:val="1"/>
          <w:numId w:val="1"/>
        </w:numPr>
        <w:rPr/>
      </w:pPr>
      <w:r>
        <w:rPr/>
        <w:t>В состав Комиссии входят: председатель, ответственный секретарь и другие члены.</w:t>
      </w:r>
    </w:p>
    <w:p>
      <w:pPr>
        <w:pStyle w:val="23"/>
        <w:numPr>
          <w:ilvl w:val="1"/>
          <w:numId w:val="1"/>
        </w:numPr>
        <w:rPr/>
      </w:pPr>
      <w:r>
        <w:rPr/>
        <w:t>Председатель Комиссии избирается на первом заседании простым большинством голосов членов Комиссии.</w:t>
      </w:r>
    </w:p>
    <w:p>
      <w:pPr>
        <w:pStyle w:val="23"/>
        <w:numPr>
          <w:ilvl w:val="1"/>
          <w:numId w:val="1"/>
        </w:numPr>
        <w:rPr/>
      </w:pPr>
      <w:r>
        <w:rPr/>
        <w:t>Председатель Комиссии: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организует работу Комиссии;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определяет план работы Комиссии;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осуществляет общий контроль за реализацией принятых Комиссией решений;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распределяет обязанности между членами Комиссии.</w:t>
      </w:r>
    </w:p>
    <w:p>
      <w:pPr>
        <w:pStyle w:val="23"/>
        <w:numPr>
          <w:ilvl w:val="1"/>
          <w:numId w:val="1"/>
        </w:numPr>
        <w:rPr/>
      </w:pPr>
      <w:r>
        <w:rPr/>
        <w:t>Ответственный секретарь Комиссии: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принимает, регистрирует обращения и другие материалы;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ведет протоколы заседаний Комиссии;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информирует членов Комиссии и всех заинтересованных лиц о дате, месте и времени проведения заседаний Комиссии, вопросах, включенных в повестку дня заседания Комиссии в установленные сроки;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доводит в установленные сроки решения Комиссии до заинтересованных сторон;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несет ответственность за сохранность документов и иных материалов, рассматриваемых на заседаниях Комиссии.</w:t>
      </w:r>
    </w:p>
    <w:p>
      <w:pPr>
        <w:pStyle w:val="23"/>
        <w:keepNext w:val="true"/>
        <w:numPr>
          <w:ilvl w:val="1"/>
          <w:numId w:val="1"/>
        </w:numPr>
        <w:rPr/>
      </w:pPr>
      <w:r>
        <w:rPr/>
        <w:t>Члены Комиссии имеют право: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>
      <w:pPr>
        <w:pStyle w:val="23"/>
        <w:numPr>
          <w:ilvl w:val="1"/>
          <w:numId w:val="1"/>
        </w:numPr>
        <w:rPr/>
      </w:pPr>
      <w:r>
        <w:rPr/>
        <w:t>Члены Комиссии обязаны: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выполнять возложенные на них обязанности в соответствии с решениями Комиссии;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соблюдать требования законодательных и иных нормативных правовых актов при реализации своих обязанностей;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>
      <w:pPr>
        <w:pStyle w:val="1"/>
        <w:rPr/>
      </w:pPr>
      <w:bookmarkStart w:id="37" w:name="_Toc87535008"/>
      <w:r>
        <w:rPr/>
        <w:t>Организация работы Комиссии</w:t>
      </w:r>
      <w:bookmarkEnd w:id="37"/>
    </w:p>
    <w:p>
      <w:pPr>
        <w:pStyle w:val="23"/>
        <w:numPr>
          <w:ilvl w:val="1"/>
          <w:numId w:val="1"/>
        </w:numPr>
        <w:rPr/>
      </w:pPr>
      <w:r>
        <w:rPr/>
        <w:t>Началом работы Комиссии считается дата выпуска приказа о рассмотрении обращения.</w:t>
      </w:r>
    </w:p>
    <w:p>
      <w:pPr>
        <w:pStyle w:val="23"/>
        <w:numPr>
          <w:ilvl w:val="1"/>
          <w:numId w:val="1"/>
        </w:numPr>
        <w:rPr/>
      </w:pPr>
      <w:r>
        <w:rPr/>
        <w:t>Основной формой деятельности Комиссии являются заседания.</w:t>
      </w:r>
    </w:p>
    <w:p>
      <w:pPr>
        <w:pStyle w:val="3"/>
        <w:rPr/>
      </w:pPr>
      <w:r>
        <w:rPr/>
        <w:t>Первое заседание Комиссии проводится в течение 5 рабочих дней со дня издания приказа о рассмотрении обращения.</w:t>
      </w:r>
    </w:p>
    <w:p>
      <w:pPr>
        <w:pStyle w:val="3"/>
        <w:rPr/>
      </w:pPr>
      <w:r>
        <w:rPr/>
        <w:t>Дальнейшие заседания Комиссии проводятся по мере необходимости. Решение о дате и времени проведения следующего заседания принимается на текущем заседании.</w:t>
      </w:r>
    </w:p>
    <w:p>
      <w:pPr>
        <w:pStyle w:val="3"/>
        <w:rPr/>
      </w:pPr>
      <w:r>
        <w:rPr/>
        <w:t>Информацию о проведении заседания Комиссии всем участникам предоставляет ответственный секретарь в срок не позднее 5 рабочих дней до дня проведения заседания Комиссии.</w:t>
      </w:r>
    </w:p>
    <w:p>
      <w:pPr>
        <w:pStyle w:val="23"/>
        <w:numPr>
          <w:ilvl w:val="1"/>
          <w:numId w:val="1"/>
        </w:numPr>
        <w:rPr/>
      </w:pPr>
      <w:r>
        <w:rPr/>
        <w:t>На заседание Комиссии в обязательном порядке приглашаются заявитель и лица, чьи действия обжалуются в обращении. Отсутствие на заседании заявителя и лиц, чьи действия обжалуются в обращении, не препятствует рассмотрению обращения и принятию по нему решения.</w:t>
      </w:r>
    </w:p>
    <w:p>
      <w:pPr>
        <w:pStyle w:val="23"/>
        <w:numPr>
          <w:ilvl w:val="1"/>
          <w:numId w:val="1"/>
        </w:numPr>
        <w:rPr/>
      </w:pPr>
      <w:r>
        <w:rPr/>
        <w:t>На заседании заслушиваются все участники спорной ситуации, рассматриваются представленные материалы.</w:t>
      </w:r>
    </w:p>
    <w:p>
      <w:pPr>
        <w:pStyle w:val="23"/>
        <w:numPr>
          <w:ilvl w:val="1"/>
          <w:numId w:val="1"/>
        </w:numPr>
        <w:rPr/>
      </w:pPr>
      <w:r>
        <w:rPr/>
        <w:t>По результатам рассмотрения обращения Комиссия принимает решение в целях урегулирования разногласий между участниками образовательных отношений.</w:t>
      </w:r>
    </w:p>
    <w:p>
      <w:pPr>
        <w:pStyle w:val="3"/>
        <w:rPr/>
      </w:pPr>
      <w:r>
        <w:rPr/>
        <w:t>Решение Комиссии принимается простым большинством голосов членов Комиссии, принимающих участие в заседании. При равенстве голосов решающим голосом является голос председателя Комиссии.</w:t>
      </w:r>
    </w:p>
    <w:p>
      <w:pPr>
        <w:pStyle w:val="3"/>
        <w:rPr/>
      </w:pPr>
      <w:r>
        <w:rPr/>
        <w:t>Решение Комиссии может быть обжаловано в установленном законодательством Российской Федерации порядке.</w:t>
      </w:r>
    </w:p>
    <w:p>
      <w:pPr>
        <w:pStyle w:val="23"/>
        <w:numPr>
          <w:ilvl w:val="1"/>
          <w:numId w:val="1"/>
        </w:numPr>
        <w:rPr/>
      </w:pPr>
      <w:r>
        <w:rPr/>
        <w:t>Каждое заседание Комиссии оформляется протоколом, который подписывается всеми участниками заседания.</w:t>
      </w:r>
    </w:p>
    <w:p>
      <w:pPr>
        <w:pStyle w:val="23"/>
        <w:numPr>
          <w:ilvl w:val="1"/>
          <w:numId w:val="1"/>
        </w:numPr>
        <w:rPr/>
      </w:pPr>
      <w:r>
        <w:rPr/>
        <w:t>Решение Комиссии (копия протокола) направляются заявителю, заказчику обучения, в подразделение по качеству, а также другим заинтересованным лицам в течение 3 рабочих дней со дня заседания.</w:t>
      </w:r>
    </w:p>
    <w:p>
      <w:pPr>
        <w:pStyle w:val="23"/>
        <w:numPr>
          <w:ilvl w:val="1"/>
          <w:numId w:val="1"/>
        </w:numPr>
        <w:rPr/>
      </w:pPr>
      <w:r>
        <w:rPr/>
        <w:t>Комплект документов по рассмотрению обращения хранится в УО в течение одного года и включает: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обращение участника образовательных отношений;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запрос и ответ о направлении кандидатов в члены Комиссии;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приказ о рассмотрении обращения;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приглашение и ответ заявителя для участия в заседании;</w:t>
      </w:r>
    </w:p>
    <w:p>
      <w:pPr>
        <w:pStyle w:val="Style27"/>
        <w:numPr>
          <w:ilvl w:val="0"/>
          <w:numId w:val="2"/>
        </w:numPr>
        <w:ind w:left="993" w:hanging="284"/>
        <w:rPr/>
      </w:pPr>
      <w:r>
        <w:rPr/>
        <w:t>протоколы заседаний Комиссии.</w:t>
      </w:r>
    </w:p>
    <w:p>
      <w:pPr>
        <w:pStyle w:val="23"/>
        <w:numPr>
          <w:ilvl w:val="1"/>
          <w:numId w:val="1"/>
        </w:numPr>
        <w:rPr/>
      </w:pPr>
      <w:r>
        <w:rPr/>
        <w:t xml:space="preserve">После принятия окончательного решения по урегулированию спорной ситуации (и если это решение не обжаловано в установленном законодательством Российской Федерации порядке) – деятельность Комиссии в текущем составе считается прекращенной, о чем ответственный секретарь делает запись в журнале. Порядок прекращения работы Комиссии также может быть определен в приказе по ее созданию. </w:t>
      </w:r>
    </w:p>
    <w:p>
      <w:pPr>
        <w:pStyle w:val="Normal"/>
        <w:rPr/>
      </w:pPr>
      <w:r>
        <w:rPr>
          <w:rStyle w:val="Style14"/>
          <w:rFonts w:eastAsia="Symbol" w:cs="Symbol" w:ascii="Symbol" w:hAnsi="Symbol"/>
        </w:rPr>
        <w:footnoteReference w:customMarkFollows="1" w:id="2"/>
        <w:t> 8</w:t>
      </w:r>
    </w:p>
    <w:sectPr>
      <w:headerReference w:type="default" r:id="rId8"/>
      <w:footerReference w:type="default" r:id="rId9"/>
      <w:footnotePr>
        <w:numFmt w:val="chicago"/>
      </w:footnotePr>
      <w:type w:val="nextPage"/>
      <w:pgSz w:w="11906" w:h="16838"/>
      <w:pgMar w:left="1418" w:right="851" w:gutter="0" w:header="425" w:top="1559" w:footer="567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right="360" w:firstLine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inside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inside;mso-position-horizontal-relative:margin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w:t>Обнинск</w:t>
      <w:br/>
      <w:t>2021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w:t>Обнинск</w:t>
      <w:br/>
      <w:t>2021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6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8"/>
        <w:rPr/>
      </w:pPr>
      <w:r>
        <w:rPr>
          <w:rStyle w:val="Style16"/>
        </w:rPr>
        <w:t> 8</w:t>
      </w:r>
      <w:r>
        <w:rPr/>
        <w:t>Ю.М. Янович (484) 39 29-077</w:t>
      </w:r>
    </w:p>
    <w:p>
      <w:pPr>
        <w:pStyle w:val="Style28"/>
        <w:rPr/>
      </w:pPr>
      <w:r>
        <w:rPr/>
        <w:fldChar w:fldCharType="begin"/>
      </w:r>
      <w:r>
        <w:rPr/>
        <w:instrText xml:space="preserve"> FILENAME \p </w:instrText>
      </w:r>
      <w:r>
        <w:rPr/>
        <w:fldChar w:fldCharType="separate"/>
      </w:r>
      <w:r>
        <w:rPr/>
        <w:t>/run/user/196201638/fly-fm-vfs/smb/192.168.0.18/docs/Утвержденные НД/10_Положения о комиссиях/006_ПК_Положение о_комиссии по урегулированию споров между участниками образовательных отношений_ред.2.docx</w:t>
      </w:r>
      <w:r>
        <w:rPr/>
        <w:fldChar w:fldCharType="end"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Arial" w:hAnsi="Arial"/>
      </w:rPr>
    </w:pPr>
    <w:r>
      <w:rPr>
        <w:rFonts w:ascii="Arial" w:hAnsi="Arial"/>
      </w:rPr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rPr>
                              <w:rFonts w:ascii="Arial" w:hAnsi="Arial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rPr>
                        <w:rFonts w:ascii="Arial" w:hAnsi="Arial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1e0" w:noVBand="0" w:noHBand="0" w:firstRow="1" w:lastRow="1" w:firstColumn="1" w:lastColumn="1"/>
    </w:tblPr>
    <w:tblGrid>
      <w:gridCol w:w="9637"/>
    </w:tblGrid>
    <w:tr>
      <w:trPr>
        <w:trHeight w:val="780" w:hRule="atLeast"/>
      </w:trPr>
      <w:tc>
        <w:tcPr>
          <w:tcW w:w="9637" w:type="dxa"/>
          <w:tcBorders/>
        </w:tcPr>
        <w:p>
          <w:pPr>
            <w:pStyle w:val="Normal"/>
            <w:widowControl w:val="false"/>
            <w:jc w:val="center"/>
            <w:rPr>
              <w:b/>
              <w:b/>
            </w:rPr>
          </w:pPr>
          <w:r>
            <mc:AlternateContent>
              <mc:Choice Requires="wps">
                <w:drawing>
                  <wp:anchor behindDoc="1" distT="0" distB="19050" distL="0" distR="19050" simplePos="0" locked="0" layoutInCell="0" allowOverlap="1" relativeHeight="2" wp14:anchorId="2024BA25">
                    <wp:simplePos x="0" y="0"/>
                    <wp:positionH relativeFrom="column">
                      <wp:posOffset>-943610</wp:posOffset>
                    </wp:positionH>
                    <wp:positionV relativeFrom="paragraph">
                      <wp:posOffset>-3086735</wp:posOffset>
                    </wp:positionV>
                    <wp:extent cx="228600" cy="228600"/>
                    <wp:effectExtent l="5080" t="5080" r="5715" b="5080"/>
                    <wp:wrapNone/>
                    <wp:docPr id="2" name="Надпись 2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28600" cy="228600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a6a6a6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Style37"/>
                                  <w:widowControl w:val="false"/>
                                  <w:jc w:val="center"/>
                                  <w:rPr>
                                    <w:color w:val="A6A6A6"/>
                                    <w:sz w:val="24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sdt>
                                  <w:sdtPr>
                                    <w:id w:val="119662864"/>
                                  </w:sdtPr>
                                  <w:sdtContent>
                                    <w:r>
                                      <w:rPr/>
                                      <w:t>2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lIns="0" rIns="0" tIns="0" bIns="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oval id="shape_0" ID="Надпись 2" path="l-2147483648,-2147483643l-2147483628,-2147483627l-2147483648,-2147483643l-2147483626,-2147483625xe" fillcolor="white" stroked="t" o:allowincell="f" style="position:absolute;margin-left:-74.3pt;margin-top:-243.05pt;width:17.95pt;height:17.95pt;mso-wrap-style:square;v-text-anchor:top" wp14:anchorId="2024BA25">
                    <v:fill o:detectmouseclick="t" type="solid" color2="black" opacity="0"/>
                    <v:stroke color="#a6a6a6" weight="9360" joinstyle="miter" endcap="flat"/>
                    <v:textbox>
                      <w:txbxContent>
                        <w:p>
                          <w:pPr>
                            <w:pStyle w:val="Style37"/>
                            <w:widowControl w:val="false"/>
                            <w:jc w:val="center"/>
                            <w:rPr>
                              <w:color w:val="A6A6A6"/>
                              <w:sz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sdt>
                            <w:sdtPr>
                              <w:id w:val="469469041"/>
                            </w:sdtPr>
                            <w:sdtContent>
                              <w:r>
                                <w:rPr/>
                                <w:t>2</w:t>
                              </w:r>
                            </w:sdtContent>
                          </w:sdt>
                        </w:p>
                      </w:txbxContent>
                    </v:textbox>
                    <w10:wrap type="none"/>
                  </v:oval>
                </w:pict>
              </mc:Fallback>
            </mc:AlternateContent>
          </w:r>
          <w:r>
            <w:rPr>
              <w:b/>
            </w:rPr>
            <w:t xml:space="preserve">Автономная некоммерческая организация дополнительного профессионального образования «Техническая академия Росатома» </w:t>
          </w:r>
        </w:p>
        <w:p>
          <w:pPr>
            <w:pStyle w:val="Normal"/>
            <w:widowControl w:val="false"/>
            <w:jc w:val="center"/>
            <w:rPr>
              <w:b/>
              <w:b/>
            </w:rPr>
          </w:pPr>
          <w:r>
            <w:rPr/>
            <w:t>(АНО ДПО «Техническая академия Росатома»)</w:t>
          </w:r>
        </w:p>
      </w:tc>
    </w:tr>
  </w:tbl>
  <w:p>
    <w:pPr>
      <w:pStyle w:val="Style26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1e0" w:noVBand="0" w:noHBand="0" w:firstRow="1" w:lastRow="1" w:firstColumn="1" w:lastColumn="1"/>
    </w:tblPr>
    <w:tblGrid>
      <w:gridCol w:w="9637"/>
    </w:tblGrid>
    <w:tr>
      <w:trPr>
        <w:trHeight w:val="780" w:hRule="atLeast"/>
      </w:trPr>
      <w:tc>
        <w:tcPr>
          <w:tcW w:w="9637" w:type="dxa"/>
          <w:tcBorders/>
        </w:tcPr>
        <w:p>
          <w:pPr>
            <w:pStyle w:val="Normal"/>
            <w:widowControl w:val="false"/>
            <w:jc w:val="center"/>
            <w:rPr>
              <w:b/>
              <w:b/>
            </w:rPr>
          </w:pPr>
          <w:r>
            <mc:AlternateContent>
              <mc:Choice Requires="wps">
                <w:drawing>
                  <wp:anchor behindDoc="1" distT="0" distB="19050" distL="0" distR="19050" simplePos="0" locked="0" layoutInCell="0" allowOverlap="1" relativeHeight="2" wp14:anchorId="2024BA25">
                    <wp:simplePos x="0" y="0"/>
                    <wp:positionH relativeFrom="column">
                      <wp:posOffset>-943610</wp:posOffset>
                    </wp:positionH>
                    <wp:positionV relativeFrom="paragraph">
                      <wp:posOffset>-3086735</wp:posOffset>
                    </wp:positionV>
                    <wp:extent cx="228600" cy="228600"/>
                    <wp:effectExtent l="5080" t="5080" r="5715" b="5080"/>
                    <wp:wrapNone/>
                    <wp:docPr id="4" name="Надпись 2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28600" cy="228600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a6a6a6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Style37"/>
                                  <w:widowControl w:val="false"/>
                                  <w:jc w:val="center"/>
                                  <w:rPr>
                                    <w:color w:val="A6A6A6"/>
                                    <w:sz w:val="24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sdt>
                                  <w:sdtPr>
                                    <w:id w:val="1750614230"/>
                                  </w:sdtPr>
                                  <w:sdtContent>
                                    <w:r>
                                      <w:rPr/>
                                      <w:t>2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lIns="0" rIns="0" tIns="0" bIns="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oval id="shape_0" ID="Надпись 2" path="l-2147483648,-2147483643l-2147483628,-2147483627l-2147483648,-2147483643l-2147483626,-2147483625xe" fillcolor="white" stroked="t" o:allowincell="f" style="position:absolute;margin-left:-74.3pt;margin-top:-243.05pt;width:17.95pt;height:17.95pt;mso-wrap-style:square;v-text-anchor:top" wp14:anchorId="2024BA25">
                    <v:fill o:detectmouseclick="t" type="solid" color2="black" opacity="0"/>
                    <v:stroke color="#a6a6a6" weight="9360" joinstyle="miter" endcap="flat"/>
                    <v:textbox>
                      <w:txbxContent>
                        <w:p>
                          <w:pPr>
                            <w:pStyle w:val="Style37"/>
                            <w:widowControl w:val="false"/>
                            <w:jc w:val="center"/>
                            <w:rPr>
                              <w:color w:val="A6A6A6"/>
                              <w:sz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sdt>
                            <w:sdtPr>
                              <w:id w:val="1564086375"/>
                            </w:sdtPr>
                            <w:sdtContent>
                              <w:r>
                                <w:rPr/>
                                <w:t>2</w:t>
                              </w:r>
                            </w:sdtContent>
                          </w:sdt>
                        </w:p>
                      </w:txbxContent>
                    </v:textbox>
                    <w10:wrap type="none"/>
                  </v:oval>
                </w:pict>
              </mc:Fallback>
            </mc:AlternateContent>
          </w:r>
          <w:r>
            <w:rPr>
              <w:b/>
            </w:rPr>
            <w:t xml:space="preserve">Автономная некоммерческая организация дополнительного профессионального образования «Техническая академия Росатома» </w:t>
          </w:r>
        </w:p>
        <w:p>
          <w:pPr>
            <w:pStyle w:val="Normal"/>
            <w:widowControl w:val="false"/>
            <w:jc w:val="center"/>
            <w:rPr>
              <w:b/>
              <w:b/>
            </w:rPr>
          </w:pPr>
          <w:r>
            <w:rPr/>
            <w:t>(АНО ДПО «Техническая академия Росатома»)</w:t>
          </w:r>
        </w:p>
      </w:tc>
    </w:tr>
  </w:tbl>
  <w:p>
    <w:pPr>
      <w:pStyle w:val="Style26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pPr w:bottomFromText="0" w:horzAnchor="text" w:leftFromText="180" w:rightFromText="180" w:tblpX="0" w:tblpXSpec="center" w:tblpY="1" w:topFromText="0" w:vertAnchor="text"/>
      <w:tblW w:w="5000" w:type="pct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 w:noVBand="0" w:noHBand="0" w:lastColumn="0" w:firstColumn="0" w:lastRow="0" w:firstRow="0"/>
    </w:tblPr>
    <w:tblGrid>
      <w:gridCol w:w="2740"/>
      <w:gridCol w:w="4437"/>
      <w:gridCol w:w="2460"/>
    </w:tblGrid>
    <w:tr>
      <w:trPr>
        <w:trHeight w:val="360" w:hRule="atLeast"/>
        <w:cantSplit w:val="true"/>
      </w:trPr>
      <w:tc>
        <w:tcPr>
          <w:tcW w:w="274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АНО ДПО</w:t>
            <w:br/>
            <w:t>«Техническая академия Росатома»</w:t>
          </w:r>
        </w:p>
      </w:tc>
      <w:tc>
        <w:tcPr>
          <w:tcW w:w="443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 w:val="24"/>
              <w:szCs w:val="24"/>
            </w:rPr>
          </w:pPr>
          <w:r>
            <w:rPr>
              <w:sz w:val="24"/>
            </w:rPr>
            <w:t>Положениео комиссии по урегулированию споров между участниками образовательных отношений</w:t>
          </w:r>
        </w:p>
      </w:tc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Редакция 2</w:t>
          </w:r>
        </w:p>
      </w:tc>
    </w:tr>
    <w:tr>
      <w:trPr>
        <w:trHeight w:val="200" w:hRule="atLeast"/>
        <w:cantSplit w:val="true"/>
      </w:trPr>
      <w:tc>
        <w:tcPr>
          <w:tcW w:w="2740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sz w:val="24"/>
              <w:szCs w:val="24"/>
            </w:rPr>
          </w:pPr>
          <w:r>
            <w:rPr>
              <w:sz w:val="24"/>
              <w:szCs w:val="24"/>
            </w:rPr>
          </w:r>
        </w:p>
      </w:tc>
      <w:tc>
        <w:tcPr>
          <w:tcW w:w="4437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</w:r>
        </w:p>
      </w:tc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ПК 006-2021</w:t>
          </w:r>
        </w:p>
      </w:tc>
    </w:tr>
  </w:tbl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sz w:val="32"/>
        <w:i w:val="false"/>
        <w:b/>
        <w:szCs w:val="32"/>
        <w:rFonts w:ascii="Times New Roman" w:hAnsi="Times New Roman"/>
      </w:rPr>
    </w:lvl>
    <w:lvl w:ilvl="1">
      <w:start w:val="1"/>
      <w:pStyle w:val="2"/>
      <w:numFmt w:val="decimal"/>
      <w:lvlText w:val="%1.%2"/>
      <w:lvlJc w:val="left"/>
      <w:pPr>
        <w:tabs>
          <w:tab w:val="num" w:pos="709"/>
        </w:tabs>
        <w:ind w:left="709" w:hanging="709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/>
        <w:szCs w:val="28"/>
        <w:vanish w:val="false"/>
        <w:rFonts w:ascii="Times New Roman" w:hAnsi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pStyle w:val="3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sz w:val="28"/>
        <w:i w:val="false"/>
        <w:b w:val="false"/>
        <w:szCs w:val="28"/>
        <w:rFonts w:ascii="Times New Roman" w:hAnsi="Times New Roman"/>
      </w:rPr>
    </w:lvl>
    <w:lvl w:ilvl="3">
      <w:start w:val="1"/>
      <w:pStyle w:val="4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sz w:val="28"/>
        <w:i w:val="false"/>
        <w:b w:val="false"/>
      </w:rPr>
    </w:lvl>
    <w:lvl w:ilvl="4">
      <w:start w:val="1"/>
      <w:pStyle w:val="5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pStyle w:val="6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pStyle w:val="7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pStyle w:val="8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pStyle w:val="9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494"/>
        </w:tabs>
        <w:ind w:left="1494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2095"/>
        </w:tabs>
        <w:ind w:left="209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15"/>
        </w:tabs>
        <w:ind w:left="28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535"/>
        </w:tabs>
        <w:ind w:left="35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55"/>
        </w:tabs>
        <w:ind w:left="42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975"/>
        </w:tabs>
        <w:ind w:left="49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695"/>
        </w:tabs>
        <w:ind w:left="56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15"/>
        </w:tabs>
        <w:ind w:left="6415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0"/>
        </w:tabs>
        <w:ind w:left="0" w:hanging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0" w:hanging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0" w:hanging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0" w:hanging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0" w:hanging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0" w:hanging="0"/>
      </w:pPr>
      <w:rPr>
        <w:rFonts w:cs="Times New Roman"/>
      </w:rPr>
    </w:lvl>
  </w:abstractNum>
  <w:abstractNum w:abstractNumId="4">
    <w:lvl w:ilvl="0">
      <w:start w:val="1"/>
      <w:numFmt w:val="decimal"/>
      <w:lvlText w:val="Приложение № %1"/>
      <w:lvlJc w:val="left"/>
      <w:pPr>
        <w:tabs>
          <w:tab w:val="num" w:pos="0"/>
        </w:tabs>
        <w:ind w:left="360" w:hanging="360"/>
      </w:pPr>
      <w:rPr>
        <w:sz w:val="28"/>
        <w:i w:val="false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0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7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4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1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6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32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  <w:i w:val="false"/>
        <w:b w:val="false"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•"/>
      <w:lvlJc w:val="left"/>
      <w:pPr>
        <w:tabs>
          <w:tab w:val="num" w:pos="0"/>
        </w:tabs>
        <w:ind w:left="-101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-6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8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15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22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94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6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4383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footnotePr>
    <w:numFmt w:val="chicago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/>
    <w:lsdException w:name="List Paragraph" w:uiPriority="99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 w:semiHidden="1" w:unhideWhenUsed="1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9116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1">
    <w:name w:val="Heading 1"/>
    <w:basedOn w:val="Normal"/>
    <w:next w:val="2"/>
    <w:link w:val="11"/>
    <w:qFormat/>
    <w:rsid w:val="006465bb"/>
    <w:pPr>
      <w:keepNext w:val="true"/>
      <w:numPr>
        <w:ilvl w:val="0"/>
        <w:numId w:val="1"/>
      </w:numPr>
      <w:tabs>
        <w:tab w:val="clear" w:pos="720"/>
        <w:tab w:val="left" w:pos="-3402" w:leader="none"/>
      </w:tabs>
      <w:spacing w:before="240" w:after="240"/>
      <w:jc w:val="both"/>
      <w:outlineLvl w:val="0"/>
    </w:pPr>
    <w:rPr>
      <w:b/>
      <w:sz w:val="32"/>
    </w:rPr>
  </w:style>
  <w:style w:type="paragraph" w:styleId="2">
    <w:name w:val="Heading 2"/>
    <w:basedOn w:val="Normal"/>
    <w:link w:val="21"/>
    <w:qFormat/>
    <w:rsid w:val="002c7e90"/>
    <w:pPr>
      <w:numPr>
        <w:ilvl w:val="1"/>
        <w:numId w:val="1"/>
      </w:numPr>
      <w:spacing w:before="120" w:after="120"/>
      <w:jc w:val="both"/>
      <w:outlineLvl w:val="1"/>
    </w:pPr>
    <w:rPr>
      <w:b/>
      <w:bCs/>
      <w:szCs w:val="24"/>
    </w:rPr>
  </w:style>
  <w:style w:type="paragraph" w:styleId="3">
    <w:name w:val="Heading 3"/>
    <w:basedOn w:val="Normal"/>
    <w:qFormat/>
    <w:rsid w:val="008a6cad"/>
    <w:pPr>
      <w:widowControl w:val="false"/>
      <w:numPr>
        <w:ilvl w:val="2"/>
        <w:numId w:val="1"/>
      </w:numPr>
      <w:suppressAutoHyphens w:val="true"/>
      <w:spacing w:before="120" w:after="120"/>
      <w:jc w:val="both"/>
      <w:outlineLvl w:val="2"/>
    </w:pPr>
    <w:rPr>
      <w:rFonts w:eastAsia="" w:cs="" w:cstheme="majorBidi" w:eastAsiaTheme="majorEastAsia"/>
      <w:color w:val="000000" w:themeColor="text1"/>
    </w:rPr>
  </w:style>
  <w:style w:type="paragraph" w:styleId="4">
    <w:name w:val="Heading 4"/>
    <w:basedOn w:val="Normal"/>
    <w:next w:val="Normal"/>
    <w:qFormat/>
    <w:rsid w:val="0048223a"/>
    <w:pPr>
      <w:keepNext w:val="true"/>
      <w:numPr>
        <w:ilvl w:val="3"/>
        <w:numId w:val="1"/>
      </w:numPr>
      <w:jc w:val="both"/>
      <w:outlineLvl w:val="3"/>
    </w:pPr>
    <w:rPr/>
  </w:style>
  <w:style w:type="paragraph" w:styleId="5">
    <w:name w:val="Heading 5"/>
    <w:basedOn w:val="Normal"/>
    <w:next w:val="Normal"/>
    <w:qFormat/>
    <w:rsid w:val="006f3850"/>
    <w:pPr>
      <w:keepNext w:val="true"/>
      <w:numPr>
        <w:ilvl w:val="4"/>
        <w:numId w:val="1"/>
      </w:numPr>
      <w:jc w:val="center"/>
      <w:outlineLvl w:val="4"/>
    </w:pPr>
    <w:rPr>
      <w:b/>
    </w:rPr>
  </w:style>
  <w:style w:type="paragraph" w:styleId="6">
    <w:name w:val="Heading 6"/>
    <w:basedOn w:val="Normal"/>
    <w:next w:val="Normal"/>
    <w:qFormat/>
    <w:rsid w:val="006f3850"/>
    <w:pPr>
      <w:keepNext w:val="true"/>
      <w:numPr>
        <w:ilvl w:val="5"/>
        <w:numId w:val="1"/>
      </w:numPr>
      <w:tabs>
        <w:tab w:val="clear" w:pos="720"/>
        <w:tab w:val="left" w:pos="6804" w:leader="none"/>
      </w:tabs>
      <w:outlineLvl w:val="5"/>
    </w:pPr>
    <w:rPr>
      <w:b/>
    </w:rPr>
  </w:style>
  <w:style w:type="paragraph" w:styleId="7">
    <w:name w:val="Heading 7"/>
    <w:basedOn w:val="Normal"/>
    <w:next w:val="Normal"/>
    <w:qFormat/>
    <w:rsid w:val="006f3850"/>
    <w:pPr>
      <w:keepNext w:val="true"/>
      <w:numPr>
        <w:ilvl w:val="6"/>
        <w:numId w:val="1"/>
      </w:numPr>
      <w:tabs>
        <w:tab w:val="clear" w:pos="720"/>
        <w:tab w:val="left" w:pos="8505" w:leader="none"/>
      </w:tabs>
      <w:spacing w:before="240" w:after="240"/>
      <w:jc w:val="center"/>
      <w:outlineLvl w:val="6"/>
    </w:pPr>
    <w:rPr>
      <w:b/>
      <w:caps/>
    </w:rPr>
  </w:style>
  <w:style w:type="paragraph" w:styleId="8">
    <w:name w:val="Heading 8"/>
    <w:basedOn w:val="Normal"/>
    <w:next w:val="Normal"/>
    <w:qFormat/>
    <w:rsid w:val="006f3850"/>
    <w:pPr>
      <w:keepNext w:val="true"/>
      <w:numPr>
        <w:ilvl w:val="7"/>
        <w:numId w:val="1"/>
      </w:numPr>
      <w:outlineLvl w:val="7"/>
    </w:pPr>
    <w:rPr>
      <w:b/>
    </w:rPr>
  </w:style>
  <w:style w:type="paragraph" w:styleId="9">
    <w:name w:val="Heading 9"/>
    <w:basedOn w:val="Normal"/>
    <w:next w:val="Normal"/>
    <w:qFormat/>
    <w:rsid w:val="006f3850"/>
    <w:pPr>
      <w:keepNext w:val="true"/>
      <w:numPr>
        <w:ilvl w:val="8"/>
        <w:numId w:val="1"/>
      </w:numPr>
      <w:tabs>
        <w:tab w:val="clear" w:pos="720"/>
        <w:tab w:val="left" w:pos="5670" w:leader="none"/>
      </w:tabs>
      <w:spacing w:lineRule="auto" w:line="360"/>
      <w:outlineLvl w:val="8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Текст примечания Знак"/>
    <w:basedOn w:val="DefaultParagraphFont"/>
    <w:link w:val="Annotationtext"/>
    <w:qFormat/>
    <w:rsid w:val="000f6423"/>
    <w:rPr/>
  </w:style>
  <w:style w:type="character" w:styleId="Style6" w:customStyle="1">
    <w:name w:val="Тема примечания Знак"/>
    <w:basedOn w:val="Style5"/>
    <w:link w:val="Annotationsubject"/>
    <w:qFormat/>
    <w:rsid w:val="005e2c22"/>
    <w:rPr>
      <w:b/>
      <w:i/>
      <w:color w:val="7030A0"/>
      <w:sz w:val="22"/>
    </w:rPr>
  </w:style>
  <w:style w:type="character" w:styleId="Style7">
    <w:name w:val="Интернет-ссылка"/>
    <w:uiPriority w:val="99"/>
    <w:rsid w:val="00ca1ac6"/>
    <w:rPr>
      <w:color w:val="0000FF"/>
      <w:u w:val="single"/>
    </w:rPr>
  </w:style>
  <w:style w:type="character" w:styleId="Style8" w:customStyle="1">
    <w:name w:val="Текст сноски Знак"/>
    <w:qFormat/>
    <w:rsid w:val="00936724"/>
    <w:rPr>
      <w:szCs w:val="24"/>
    </w:rPr>
  </w:style>
  <w:style w:type="character" w:styleId="Style9" w:customStyle="1">
    <w:name w:val="Список-тире Знак Знак"/>
    <w:link w:val="Style27"/>
    <w:qFormat/>
    <w:rsid w:val="00d76921"/>
    <w:rPr>
      <w:sz w:val="28"/>
      <w:szCs w:val="28"/>
    </w:rPr>
  </w:style>
  <w:style w:type="character" w:styleId="Style10" w:customStyle="1">
    <w:name w:val="Табл_спис Знак"/>
    <w:link w:val="Style29"/>
    <w:qFormat/>
    <w:rsid w:val="00634eea"/>
    <w:rPr>
      <w:sz w:val="28"/>
    </w:rPr>
  </w:style>
  <w:style w:type="character" w:styleId="Style11" w:customStyle="1">
    <w:name w:val="Верхний колонтитул Знак"/>
    <w:basedOn w:val="DefaultParagraphFont"/>
    <w:qFormat/>
    <w:rsid w:val="000c1624"/>
    <w:rPr>
      <w:sz w:val="28"/>
    </w:rPr>
  </w:style>
  <w:style w:type="character" w:styleId="11" w:customStyle="1">
    <w:name w:val="Заголовок 1 Знак"/>
    <w:basedOn w:val="DefaultParagraphFont"/>
    <w:qFormat/>
    <w:rsid w:val="006465bb"/>
    <w:rPr>
      <w:b/>
      <w:sz w:val="32"/>
    </w:rPr>
  </w:style>
  <w:style w:type="character" w:styleId="21" w:customStyle="1">
    <w:name w:val="Заголовок 2 Знак"/>
    <w:basedOn w:val="DefaultParagraphFont"/>
    <w:qFormat/>
    <w:rsid w:val="002c7e90"/>
    <w:rPr>
      <w:b/>
      <w:bCs/>
      <w:sz w:val="28"/>
      <w:szCs w:val="24"/>
    </w:rPr>
  </w:style>
  <w:style w:type="character" w:styleId="Style12" w:customStyle="1">
    <w:name w:val="Список-номер Знак"/>
    <w:basedOn w:val="DefaultParagraphFont"/>
    <w:link w:val="Style32"/>
    <w:qFormat/>
    <w:rsid w:val="00fe4819"/>
    <w:rPr>
      <w:color w:val="000000" w:themeColor="text1"/>
      <w:sz w:val="28"/>
      <w:szCs w:val="28"/>
    </w:rPr>
  </w:style>
  <w:style w:type="character" w:styleId="PlaceholderText">
    <w:name w:val="Placeholder Text"/>
    <w:basedOn w:val="DefaultParagraphFont"/>
    <w:uiPriority w:val="99"/>
    <w:unhideWhenUsed/>
    <w:qFormat/>
    <w:rsid w:val="001f5802"/>
    <w:rPr>
      <w:color w:val="808080"/>
    </w:rPr>
  </w:style>
  <w:style w:type="character" w:styleId="Style13" w:customStyle="1">
    <w:name w:val="Нижний колонтитул Знак"/>
    <w:basedOn w:val="DefaultParagraphFont"/>
    <w:uiPriority w:val="99"/>
    <w:qFormat/>
    <w:rsid w:val="00b26fab"/>
    <w:rPr>
      <w:sz w:val="28"/>
    </w:rPr>
  </w:style>
  <w:style w:type="character" w:styleId="22" w:customStyle="1">
    <w:name w:val="Заголовок2_без содерж Знак"/>
    <w:link w:val="25"/>
    <w:qFormat/>
    <w:rsid w:val="0013709c"/>
    <w:rPr>
      <w:bCs/>
      <w:iCs/>
      <w:sz w:val="28"/>
      <w:szCs w:val="28"/>
    </w:rPr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semiHidden/>
    <w:qFormat/>
    <w:rsid w:val="0013709c"/>
    <w:rPr>
      <w:vertAlign w:val="superscript"/>
    </w:rPr>
  </w:style>
  <w:style w:type="character" w:styleId="Style15" w:customStyle="1">
    <w:name w:val="Текст выноски Знак"/>
    <w:basedOn w:val="DefaultParagraphFont"/>
    <w:link w:val="BalloonText"/>
    <w:semiHidden/>
    <w:qFormat/>
    <w:rsid w:val="00840cd6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semiHidden/>
    <w:unhideWhenUsed/>
    <w:qFormat/>
    <w:rsid w:val="00840cd6"/>
    <w:rPr>
      <w:sz w:val="16"/>
      <w:szCs w:val="16"/>
    </w:rPr>
  </w:style>
  <w:style w:type="character" w:styleId="Style16">
    <w:name w:val="Символ сноски"/>
    <w:qFormat/>
    <w:rPr/>
  </w:style>
  <w:style w:type="character" w:styleId="Style17">
    <w:name w:val="Ссылка указателя"/>
    <w:qFormat/>
    <w:rPr/>
  </w:style>
  <w:style w:type="character" w:styleId="Style18">
    <w:name w:val="Привязка концевой сноски"/>
    <w:rPr>
      <w:vertAlign w:val="superscript"/>
    </w:rPr>
  </w:style>
  <w:style w:type="character" w:styleId="Style19">
    <w:name w:val="Символ концевой сноски"/>
    <w:qFormat/>
    <w:rPr/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Noto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Annotationtext">
    <w:name w:val="annotation text"/>
    <w:basedOn w:val="Normal"/>
    <w:link w:val="Style5"/>
    <w:qFormat/>
    <w:rsid w:val="000f6423"/>
    <w:pPr>
      <w:jc w:val="both"/>
    </w:pPr>
    <w:rPr>
      <w:sz w:val="20"/>
    </w:rPr>
  </w:style>
  <w:style w:type="paragraph" w:styleId="12">
    <w:name w:val="TOC 1"/>
    <w:basedOn w:val="Normal"/>
    <w:next w:val="Normal"/>
    <w:autoRedefine/>
    <w:uiPriority w:val="39"/>
    <w:rsid w:val="00d35752"/>
    <w:pPr>
      <w:tabs>
        <w:tab w:val="clear" w:pos="720"/>
        <w:tab w:val="left" w:pos="425" w:leader="none"/>
        <w:tab w:val="right" w:pos="9639" w:leader="dot"/>
      </w:tabs>
      <w:spacing w:before="0" w:after="120"/>
      <w:ind w:left="425" w:hanging="425"/>
    </w:pPr>
    <w:rPr>
      <w:bCs/>
    </w:rPr>
  </w:style>
  <w:style w:type="paragraph" w:styleId="Annotationsubject">
    <w:name w:val="annotation subject"/>
    <w:basedOn w:val="Normal"/>
    <w:next w:val="Annotationtext"/>
    <w:link w:val="Style6"/>
    <w:qFormat/>
    <w:rsid w:val="005e2c22"/>
    <w:pPr>
      <w:spacing w:before="120" w:after="120"/>
      <w:jc w:val="both"/>
    </w:pPr>
    <w:rPr>
      <w:b/>
      <w:i/>
      <w:color w:val="7030A0"/>
      <w:sz w:val="22"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link w:val="Style11"/>
    <w:rsid w:val="00ca1ac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7" w:customStyle="1">
    <w:name w:val="Список-тире"/>
    <w:basedOn w:val="Normal"/>
    <w:link w:val="Style9"/>
    <w:qFormat/>
    <w:rsid w:val="00d76921"/>
    <w:pPr>
      <w:numPr>
        <w:ilvl w:val="0"/>
        <w:numId w:val="2"/>
      </w:numPr>
      <w:tabs>
        <w:tab w:val="clear" w:pos="720"/>
        <w:tab w:val="left" w:pos="993" w:leader="none"/>
      </w:tabs>
      <w:spacing w:before="0" w:after="60"/>
      <w:ind w:left="993" w:hanging="0"/>
      <w:jc w:val="both"/>
    </w:pPr>
    <w:rPr>
      <w:szCs w:val="28"/>
    </w:rPr>
  </w:style>
  <w:style w:type="paragraph" w:styleId="Style28">
    <w:name w:val="Footnote Text"/>
    <w:basedOn w:val="Normal"/>
    <w:link w:val="Style8"/>
    <w:rsid w:val="00936724"/>
    <w:pPr/>
    <w:rPr>
      <w:sz w:val="20"/>
      <w:szCs w:val="24"/>
    </w:rPr>
  </w:style>
  <w:style w:type="paragraph" w:styleId="Style29" w:customStyle="1">
    <w:name w:val="Табл_спис"/>
    <w:basedOn w:val="Normal"/>
    <w:link w:val="Style10"/>
    <w:qFormat/>
    <w:rsid w:val="006354b5"/>
    <w:pPr>
      <w:numPr>
        <w:ilvl w:val="1"/>
        <w:numId w:val="3"/>
      </w:numPr>
      <w:jc w:val="both"/>
    </w:pPr>
    <w:rPr/>
  </w:style>
  <w:style w:type="paragraph" w:styleId="ListParagraph">
    <w:name w:val="List Paragraph"/>
    <w:basedOn w:val="Normal"/>
    <w:uiPriority w:val="99"/>
    <w:qFormat/>
    <w:rsid w:val="00ad74af"/>
    <w:pPr>
      <w:spacing w:lineRule="auto" w:line="259" w:before="0" w:after="16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3" w:customStyle="1">
    <w:name w:val="Заголовок 2 - текст"/>
    <w:basedOn w:val="2"/>
    <w:qFormat/>
    <w:rsid w:val="00117b89"/>
    <w:pPr>
      <w:numPr>
        <w:ilvl w:val="0"/>
        <w:numId w:val="0"/>
      </w:numPr>
    </w:pPr>
    <w:rPr>
      <w:b w:val="false"/>
    </w:rPr>
  </w:style>
  <w:style w:type="paragraph" w:styleId="Caption">
    <w:name w:val="caption"/>
    <w:basedOn w:val="Normal"/>
    <w:next w:val="Normal"/>
    <w:uiPriority w:val="35"/>
    <w:unhideWhenUsed/>
    <w:qFormat/>
    <w:rsid w:val="00b64ba8"/>
    <w:pPr>
      <w:spacing w:before="120" w:after="120"/>
      <w:jc w:val="center"/>
    </w:pPr>
    <w:rPr>
      <w:iCs/>
      <w:szCs w:val="24"/>
    </w:rPr>
  </w:style>
  <w:style w:type="paragraph" w:styleId="41">
    <w:name w:val="TOC 4"/>
    <w:basedOn w:val="Normal"/>
    <w:next w:val="Normal"/>
    <w:autoRedefine/>
    <w:uiPriority w:val="39"/>
    <w:unhideWhenUsed/>
    <w:rsid w:val="00ad1350"/>
    <w:pPr>
      <w:numPr>
        <w:ilvl w:val="0"/>
        <w:numId w:val="4"/>
      </w:numPr>
      <w:tabs>
        <w:tab w:val="clear" w:pos="720"/>
        <w:tab w:val="left" w:pos="2381" w:leader="none"/>
        <w:tab w:val="right" w:pos="9639" w:leader="dot"/>
      </w:tabs>
      <w:spacing w:before="0" w:after="120"/>
      <w:ind w:left="2381" w:right="-1" w:hanging="2381"/>
    </w:pPr>
    <w:rPr/>
  </w:style>
  <w:style w:type="paragraph" w:styleId="24">
    <w:name w:val="TOC 2"/>
    <w:basedOn w:val="Normal"/>
    <w:next w:val="Normal"/>
    <w:autoRedefine/>
    <w:uiPriority w:val="39"/>
    <w:unhideWhenUsed/>
    <w:rsid w:val="006465bb"/>
    <w:pPr>
      <w:tabs>
        <w:tab w:val="clear" w:pos="720"/>
        <w:tab w:val="left" w:pos="992" w:leader="none"/>
        <w:tab w:val="right" w:pos="9639" w:leader="dot"/>
      </w:tabs>
      <w:spacing w:before="0" w:after="120"/>
      <w:ind w:left="992" w:hanging="567"/>
    </w:pPr>
    <w:rPr/>
  </w:style>
  <w:style w:type="paragraph" w:styleId="31">
    <w:name w:val="TOC 3"/>
    <w:basedOn w:val="Normal"/>
    <w:next w:val="Normal"/>
    <w:autoRedefine/>
    <w:uiPriority w:val="39"/>
    <w:unhideWhenUsed/>
    <w:rsid w:val="00375d6b"/>
    <w:pPr>
      <w:tabs>
        <w:tab w:val="clear" w:pos="720"/>
        <w:tab w:val="left" w:pos="1418" w:leader="none"/>
        <w:tab w:val="right" w:pos="9526" w:leader="dot"/>
      </w:tabs>
      <w:spacing w:before="0" w:after="120"/>
      <w:ind w:left="567" w:hanging="0"/>
    </w:pPr>
    <w:rPr/>
  </w:style>
  <w:style w:type="paragraph" w:styleId="Style30" w:customStyle="1">
    <w:name w:val="Closing"/>
    <w:basedOn w:val="Caption"/>
    <w:qFormat/>
    <w:rsid w:val="00d82d82"/>
    <w:pPr>
      <w:jc w:val="right"/>
    </w:pPr>
    <w:rPr>
      <w:b/>
    </w:rPr>
  </w:style>
  <w:style w:type="paragraph" w:styleId="Style31" w:customStyle="1">
    <w:name w:val="Наименование приложения"/>
    <w:basedOn w:val="Style30"/>
    <w:qFormat/>
    <w:rsid w:val="00d82d82"/>
    <w:pPr>
      <w:jc w:val="center"/>
    </w:pPr>
    <w:rPr>
      <w:sz w:val="32"/>
      <w:u w:val="none" w:color="FFFFFF"/>
    </w:rPr>
  </w:style>
  <w:style w:type="paragraph" w:styleId="13" w:customStyle="1">
    <w:name w:val="Список номер 1."/>
    <w:basedOn w:val="Style27"/>
    <w:qFormat/>
    <w:rsid w:val="00d82d82"/>
    <w:pPr>
      <w:numPr>
        <w:ilvl w:val="0"/>
        <w:numId w:val="5"/>
      </w:numPr>
      <w:ind w:left="426" w:hanging="426"/>
    </w:pPr>
    <w:rPr/>
  </w:style>
  <w:style w:type="paragraph" w:styleId="Style32" w:customStyle="1">
    <w:name w:val="Список-номер"/>
    <w:basedOn w:val="Normal"/>
    <w:link w:val="Style12"/>
    <w:qFormat/>
    <w:rsid w:val="00fe4819"/>
    <w:pPr>
      <w:numPr>
        <w:ilvl w:val="0"/>
        <w:numId w:val="6"/>
      </w:numPr>
      <w:spacing w:before="0" w:after="0"/>
      <w:contextualSpacing/>
    </w:pPr>
    <w:rPr>
      <w:color w:val="000000" w:themeColor="text1"/>
      <w:szCs w:val="28"/>
    </w:rPr>
  </w:style>
  <w:style w:type="paragraph" w:styleId="Style33" w:customStyle="1">
    <w:name w:val="Список-точка"/>
    <w:basedOn w:val="ListParagraph"/>
    <w:qFormat/>
    <w:rsid w:val="00241100"/>
    <w:pPr>
      <w:numPr>
        <w:ilvl w:val="0"/>
        <w:numId w:val="7"/>
      </w:numPr>
      <w:spacing w:lineRule="auto" w:line="240" w:before="0" w:after="60"/>
      <w:ind w:left="1276" w:hanging="283"/>
      <w:contextualSpacing/>
      <w:jc w:val="both"/>
      <w:outlineLvl w:val="1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Style34" w:customStyle="1">
    <w:name w:val="Основной"/>
    <w:basedOn w:val="Normal"/>
    <w:qFormat/>
    <w:rsid w:val="00fd6bcf"/>
    <w:pPr>
      <w:tabs>
        <w:tab w:val="clear" w:pos="720"/>
        <w:tab w:val="left" w:pos="709" w:leader="none"/>
      </w:tabs>
      <w:ind w:left="709" w:hanging="0"/>
      <w:jc w:val="both"/>
    </w:pPr>
    <w:rPr/>
  </w:style>
  <w:style w:type="paragraph" w:styleId="Style35" w:customStyle="1">
    <w:name w:val="Наименование таблицы"/>
    <w:basedOn w:val="Caption"/>
    <w:qFormat/>
    <w:rsid w:val="00b64ba8"/>
    <w:pPr>
      <w:jc w:val="left"/>
    </w:pPr>
    <w:rPr/>
  </w:style>
  <w:style w:type="paragraph" w:styleId="Style36">
    <w:name w:val="Footer"/>
    <w:basedOn w:val="Normal"/>
    <w:link w:val="Style13"/>
    <w:uiPriority w:val="99"/>
    <w:unhideWhenUsed/>
    <w:rsid w:val="00b26fab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25" w:customStyle="1">
    <w:name w:val="Заголовок2_без содерж"/>
    <w:basedOn w:val="2"/>
    <w:link w:val="22"/>
    <w:qFormat/>
    <w:rsid w:val="0013709c"/>
    <w:pPr>
      <w:numPr>
        <w:ilvl w:val="0"/>
        <w:numId w:val="0"/>
      </w:numPr>
      <w:tabs>
        <w:tab w:val="clear" w:pos="720"/>
      </w:tabs>
      <w:spacing w:before="0" w:after="120"/>
    </w:pPr>
    <w:rPr>
      <w:b w:val="false"/>
      <w:iCs/>
      <w:szCs w:val="28"/>
    </w:rPr>
  </w:style>
  <w:style w:type="paragraph" w:styleId="BalloonText">
    <w:name w:val="Balloon Text"/>
    <w:basedOn w:val="Normal"/>
    <w:link w:val="Style15"/>
    <w:semiHidden/>
    <w:unhideWhenUsed/>
    <w:qFormat/>
    <w:rsid w:val="00840cd6"/>
    <w:pPr/>
    <w:rPr>
      <w:rFonts w:ascii="Segoe UI" w:hAnsi="Segoe UI" w:cs="Segoe UI"/>
      <w:sz w:val="18"/>
      <w:szCs w:val="18"/>
    </w:rPr>
  </w:style>
  <w:style w:type="paragraph" w:styleId="Style3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2"/>
    <w:uiPriority w:val="59"/>
    <w:rsid w:val="00ad74af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footnotes" Target="footnotes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B112A-A5A8-45BB-A68D-55B478DA2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ЛНА (универсальный)</Template>
  <TotalTime>16</TotalTime>
  <Application>LibreOffice/7.3.3.2$Linux_X86_64 LibreOffice_project/d1d0ea68f081ee2800a922cac8f79445e4603348</Application>
  <AppVersion>15.0000</AppVersion>
  <Pages>8</Pages>
  <Words>1195</Words>
  <Characters>8626</Characters>
  <CharactersWithSpaces>9610</CharactersWithSpaces>
  <Paragraphs>148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2021-11-17T06:28:00Z</dcterms:created>
  <dc:creator>User</dc:creator>
  <dc:description/>
  <dc:language>ru-RU</dc:language>
  <cp:lastModifiedBy>Бажина Наталья Павловна</cp:lastModifiedBy>
  <cp:lastPrinted>2021-11-17T10:07:00Z</cp:lastPrinted>
  <dcterms:modified xsi:type="dcterms:W3CDTF">2021-11-18T11:40:00Z</dcterms:modified>
  <cp:revision>5</cp:revision>
  <dc:subject/>
  <dc:title>Министерство Российской Федерации по атомной энергии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