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3"/>
        <w:spacing w:before="60" w:after="0"/>
        <w:jc w:val="center"/>
        <w:rPr/>
      </w:pPr>
      <w:bookmarkStart w:id="0" w:name="_GoBack"/>
      <w:bookmarkEnd w:id="0"/>
      <w:r>
        <w:rPr/>
        <w:t xml:space="preserve">Раздел </w:t>
      </w:r>
      <w:r>
        <w:rPr>
          <w:lang w:val="en-US"/>
        </w:rPr>
        <w:t>V</w:t>
      </w:r>
      <w:r>
        <w:rPr/>
        <w:t>. Перечень рекомендуемых мероприятий по улучшению условий труда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Наименование организации:</w:t>
      </w:r>
      <w:r>
        <w:rPr>
          <w:rStyle w:val="Style14"/>
        </w:rPr>
        <w:t xml:space="preserve"> </w:t>
      </w:r>
      <w:r>
        <w:rPr>
          <w:rStyle w:val="Style14"/>
        </w:rPr>
        <w:fldChar w:fldCharType="begin"/>
      </w:r>
      <w:r>
        <w:rPr>
          <w:rStyle w:val="Style14"/>
        </w:rPr>
        <w:instrText xml:space="preserve"> DOCVARIABLE ceh_info </w:instrText>
      </w:r>
      <w:r>
        <w:rPr>
          <w:rStyle w:val="Style14"/>
        </w:rPr>
        <w:fldChar w:fldCharType="separate"/>
      </w:r>
      <w:r>
        <w:rPr>
          <w:rStyle w:val="Style14"/>
        </w:rPr>
        <w:t xml:space="preserve"> Автономная некоммерческая организация дополнительного профессионального образования "Техническая академия Росатома" (АНО ДПО "Техническая академия Росатома") </w:t>
      </w:r>
      <w:r>
        <w:rPr>
          <w:rStyle w:val="Style14"/>
        </w:rPr>
        <w:fldChar w:fldCharType="end"/>
      </w:r>
      <w:r>
        <w:rPr>
          <w:rStyle w:val="Style14"/>
        </w:rPr>
        <w:t> 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155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8"/>
        <w:gridCol w:w="3687"/>
        <w:gridCol w:w="2834"/>
        <w:gridCol w:w="1384"/>
        <w:gridCol w:w="3294"/>
        <w:gridCol w:w="1315"/>
      </w:tblGrid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bookmarkStart w:id="1" w:name="main_table"/>
            <w:bookmarkEnd w:id="1"/>
            <w:r>
              <w:rPr/>
              <w:t>Наименование структурного подразделения, рабочего места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  <w:t>Наименование мероприятия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  <w:t>Цель мероприятия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  <w:t>Срок</w:t>
              <w:br/>
              <w:t>выполнения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  <w:t>Структурные подразделения, привлекаемые для выполнения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  <w:t>Отметка о выполнении</w:t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  <w:t>1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  <w:t>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  <w:t>4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  <w:t>5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  <w:t>6</w:t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Управление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планирования и координации лингвистического сопровождения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лингвистического сопровождения проектов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технического перевода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организации эксплуатации АЭС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подготовки документации и  сопровождения обучения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технологических процессов АЭС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организации и сопровождения обучения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планирования и координации ресурсов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Проектный офис "Управление проектами по подготовке персонала зарубежных АС"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Департамент отраслевого обучения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Центральный институт повышения квалификации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организации учебного процесса Центрального института повышения квалификации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Проектный офис "Электронное обучение"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Учебно-методический центр "Ядерная и радиационная безопасность"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Центр компетенций по культуре безопасности и надежности человеческого фактора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по подготовке персонала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обеспечения профессиональной надежности персонала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развития культуры безопасности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Институт глобальной ядерной безопасности и физической защиты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Испытательная лаборатория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организации учебного процесса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Учебно-методический центр "Безопасные информационные технологии"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Учебно-методический центр "Защита активов и противодействие коррупции"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Учебно-методический центр "Защита государственной тайны"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Учебно-методический центр международного обучения по безопасности и гарантиям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Учебно-методический центр "Физическая защита и антитеррористическая защищенность"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Учебно-методический центр "Безопасность в ядерном оружейном комплексе"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Учебно-методический центр "Мобилизационная подготовка"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Управление договорной деятельности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договоров информационно-консультационных услуг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международных договоров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планирования и сопровождения учебного процесса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расходных договоров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учебных договоров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Управление по методологии и развитию обучения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методологии обучения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Центр оценки соответствия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Центр информационных систем поддержки обучения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разработки компьютерных обучающих систем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Отсутствует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по оценке и развитию персонала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по работе с персоналом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развития системы мотивации персонала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правового и корпоративного сопровождения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управления недвижимым имуществом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сопровождения Программы развития Академии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Казначейство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ценообразования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административно-хозяйственного обеспечения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санитарного содержания зданий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управления инвестиционной деятельностью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реконструкции и содержания имущественного комплекса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Тепломеханический участок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ИТ-инфраструктуры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ИТ-обеспечения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ИТ-поддержки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обеспечения информационной безопасности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производственной безопасности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по пожарной безопасности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документации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Секретариат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делопроизводства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материально-технического обеспечения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проведения закупок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подготовки закупочной документации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обеспечения качества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процессного управления и рисков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обеспечения безопасности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защиты активов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сопровождения международной деятельности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Режимно-секретный отдел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информационной безопасности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Отдел бухгалтерского и налогового учета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организации и проведения мероприятий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информационного сопровождения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Группа производства визуального контента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Независимый аттестационно-методический центр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>
                <w:b/>
                <w:i/>
                <w:i/>
              </w:rPr>
            </w:pPr>
            <w:r>
              <w:rPr>
                <w:b/>
                <w:i/>
              </w:rPr>
              <w:t>Транспортный отдел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jc w:val="left"/>
              <w:rPr/>
            </w:pPr>
            <w:r>
              <w:rPr/>
              <w:t>253-2025. Водитель автомобиля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  <w:t>Тяжесть: Организовать рациональные режимы труда и отдыха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  <w:t>Снижение тяжести трудового процесса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4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Дата составления:</w:t>
      </w:r>
      <w:r>
        <w:rPr>
          <w:rStyle w:val="Style14"/>
        </w:rPr>
        <w:t xml:space="preserve"> </w:t>
      </w:r>
      <w:r>
        <w:rPr>
          <w:rStyle w:val="Style14"/>
        </w:rPr>
        <w:fldChar w:fldCharType="begin"/>
      </w:r>
      <w:r>
        <w:rPr>
          <w:rStyle w:val="Style14"/>
        </w:rPr>
        <w:instrText xml:space="preserve"> DOCVARIABLE fill_date </w:instrText>
      </w:r>
      <w:r>
        <w:rPr>
          <w:rStyle w:val="Style14"/>
        </w:rPr>
        <w:fldChar w:fldCharType="separate"/>
      </w:r>
      <w:r>
        <w:rPr>
          <w:rStyle w:val="Style14"/>
        </w:rPr>
        <w:t>15.01.2025</w:t>
      </w:r>
      <w:r>
        <w:rPr>
          <w:rStyle w:val="Style14"/>
        </w:rPr>
        <w:fldChar w:fldCharType="end"/>
      </w:r>
      <w:r>
        <w:rPr>
          <w:rStyle w:val="Style14"/>
        </w:rPr>
        <w:t> </w:t>
      </w:r>
    </w:p>
    <w:p>
      <w:pPr>
        <w:pStyle w:val="Normal"/>
        <w:rPr>
          <w:sz w:val="18"/>
          <w:szCs w:val="18"/>
        </w:rPr>
      </w:pPr>
      <w:r>
        <w:rPr/>
      </w:r>
    </w:p>
    <w:sectPr>
      <w:footerReference w:type="default" r:id="rId2"/>
      <w:type w:val="nextPage"/>
      <w:pgSz w:orient="landscape" w:w="16838" w:h="11906"/>
      <w:pgMar w:left="851" w:right="851" w:gutter="0" w:header="0" w:top="899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  <w:font w:name="Calibri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right"/>
      <w:rPr>
        <w:sz w:val="16"/>
        <w:szCs w:val="16"/>
      </w:rPr>
    </w:pPr>
    <w:r>
      <w:rPr>
        <w:sz w:val="16"/>
        <w:szCs w:val="16"/>
      </w:rPr>
      <w:t xml:space="preserve">Страница </w:t>
    </w:r>
    <w:r>
      <w:rPr>
        <w:b/>
        <w:bCs/>
        <w:sz w:val="16"/>
        <w:szCs w:val="16"/>
      </w:rPr>
      <w:fldChar w:fldCharType="begin"/>
    </w:r>
    <w:r>
      <w:rPr>
        <w:sz w:val="16"/>
        <w:b/>
        <w:szCs w:val="16"/>
        <w:bCs/>
      </w:rPr>
      <w:instrText xml:space="preserve"> PAGE </w:instrText>
    </w:r>
    <w:r>
      <w:rPr>
        <w:sz w:val="16"/>
        <w:b/>
        <w:szCs w:val="16"/>
        <w:bCs/>
      </w:rPr>
      <w:fldChar w:fldCharType="separate"/>
    </w:r>
    <w:r>
      <w:rPr>
        <w:sz w:val="16"/>
        <w:b/>
        <w:szCs w:val="16"/>
        <w:bCs/>
      </w:rPr>
      <w:t>4</w:t>
    </w:r>
    <w:r>
      <w:rPr>
        <w:sz w:val="16"/>
        <w:b/>
        <w:szCs w:val="16"/>
        <w:bCs/>
      </w:rPr>
      <w:fldChar w:fldCharType="end"/>
    </w:r>
    <w:r>
      <w:rPr>
        <w:sz w:val="16"/>
        <w:szCs w:val="16"/>
      </w:rPr>
      <w:t xml:space="preserve"> из </w:t>
    </w:r>
    <w:r>
      <w:rPr>
        <w:b/>
        <w:bCs/>
        <w:sz w:val="16"/>
        <w:szCs w:val="16"/>
      </w:rPr>
      <w:fldChar w:fldCharType="begin"/>
    </w:r>
    <w:r>
      <w:rPr>
        <w:sz w:val="16"/>
        <w:b/>
        <w:szCs w:val="16"/>
        <w:bCs/>
      </w:rPr>
      <w:instrText xml:space="preserve"> NUMPAGES </w:instrText>
    </w:r>
    <w:r>
      <w:rPr>
        <w:sz w:val="16"/>
        <w:b/>
        <w:szCs w:val="16"/>
        <w:bCs/>
      </w:rPr>
      <w:fldChar w:fldCharType="separate"/>
    </w:r>
    <w:r>
      <w:rPr>
        <w:sz w:val="16"/>
        <w:b/>
        <w:szCs w:val="16"/>
        <w:bCs/>
      </w:rPr>
      <w:t>5</w:t>
    </w:r>
    <w:r>
      <w:rPr>
        <w:sz w:val="16"/>
        <w:b/>
        <w:szCs w:val="16"/>
        <w:bCs/>
      </w:rPr>
      <w:fldChar w:fldCharType="end"/>
    </w:r>
  </w:p>
  <w:p>
    <w:pPr>
      <w:pStyle w:val="Style23"/>
      <w:rPr>
        <w:b w:val="false"/>
        <w:sz w:val="16"/>
        <w:szCs w:val="16"/>
      </w:rPr>
    </w:pPr>
    <w:r>
      <w:rPr>
        <w:b w:val="false"/>
        <w:sz w:val="16"/>
        <w:szCs w:val="16"/>
      </w:rPr>
      <w:t xml:space="preserve">Раздел </w:t>
    </w:r>
    <w:r>
      <w:rPr>
        <w:b w:val="false"/>
        <w:sz w:val="16"/>
        <w:szCs w:val="16"/>
        <w:lang w:val="en-US"/>
      </w:rPr>
      <w:t>V</w:t>
    </w:r>
    <w:r>
      <w:rPr>
        <w:b w:val="false"/>
        <w:sz w:val="16"/>
        <w:szCs w:val="16"/>
      </w:rPr>
      <w:t>. Перечень рекомендуемых мероприятий по улучшению условий труда</w:t>
    </w:r>
  </w:p>
</w:ft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357"/>
  <w:compat>
    <w:compatSetting w:name="compatibilityMode" w:uri="http://schemas.microsoft.com/office/word" w:val="11"/>
  </w:compat>
  <w:themeFontLang w:val="ru-RU" w:eastAsia="" w:bidi=""/>
  <w:docVars>
    <w:docVar w:name="ceh_info" w:val=" Автономная некоммерческая организация дополнительного профессионального образования &quot;Техническая академия Росатома&quot; (АНО ДПО &quot;Техническая академия Росатома&quot;) "/>
    <w:docVar w:name="fill_date" w:val="15.01.2025"/>
    <w:docVar w:name="adv_info1" w:val="     "/>
    <w:docVar w:name="adv_info2" w:val="     "/>
    <w:docVar w:name="adv_info3" w:val="     "/>
    <w:docVar w:name="att_org_adr" w:val="426063, Россия, Удмуртская Республика, г. Ижевск, ул. Владимира Краева, дом 48 Г"/>
    <w:docVar w:name="att_org_dop" w:val="Общество с ограниченной ответственностью Научно-производственная фирма &quot;Ижтрудсервис&quot;"/>
    <w:docVar w:name="att_org_name" w:val="Испытательная лаборатория вредных и опасных производственных факторов Общества с ограниченной ответственностью Научно-производственная фирма &quot;Ижтрудсервис&quot; (ИЛ ВОПФ ООО НПФ &quot;Ижтрудсервис&quot;)"/>
    <w:docVar w:name="att_org_reg_date" w:val="15.12.2017"/>
    <w:docVar w:name="att_org_reg_num" w:val="503"/>
    <w:docVar w:name="boss_fio" w:val="Берестова Яна Александровна"/>
    <w:docVar w:name="close_doc_flag" w:val="0"/>
    <w:docVar w:name="D_dog" w:val="   "/>
    <w:docVar w:name="D_prikaz" w:val="   "/>
    <w:docVar w:name="doc_type" w:val="6"/>
    <w:docVar w:name="kpp_code" w:val="   "/>
    <w:docVar w:name="N_dog" w:val="   "/>
    <w:docVar w:name="N_prikaz" w:val="   "/>
    <w:docVar w:name="org_guid" w:val="F780FD21EE534842A1E5A499AC50593E"/>
    <w:docVar w:name="org_id" w:val="2"/>
    <w:docVar w:name="org_name" w:val="     "/>
    <w:docVar w:name="pers_guids" w:val="AC6DB99ABD6C4F329DEDFF9E98D79EFE@-"/>
    <w:docVar w:name="pers_snils" w:val="AC6DB99ABD6C4F329DEDFF9E98D79EFE@-"/>
    <w:docVar w:name="podr_id" w:val="org_2"/>
    <w:docVar w:name="pred_dolg" w:val="Начальник отдела производственной безопасности"/>
    <w:docVar w:name="pred_fio" w:val="Бурлов Сергей Владимирович"/>
    <w:docVar w:name="prikaz_sout" w:val="817"/>
    <w:docVar w:name="rbtd_adr" w:val="     "/>
    <w:docVar w:name="rbtd_name" w:val="Автономная некоммерческая организация дополнительного профессионального образования &quot;Техническая академия Росатома&quot; (АНО ДПО &quot;Техническая академия Росатома&quot;)"/>
    <w:docVar w:name="sout_id" w:val="   "/>
    <w:docVar w:name="sv_docs" w:val="1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9d6532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">
    <w:name w:val="Heading 1"/>
    <w:basedOn w:val="Normal"/>
    <w:next w:val="Normal"/>
    <w:qFormat/>
    <w:rsid w:val="00c0355b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styleId="DefaultParagraphFont" w:default="1">
    <w:name w:val="Default Paragraph Font"/>
    <w:semiHidden/>
    <w:qFormat/>
    <w:rPr/>
  </w:style>
  <w:style w:type="character" w:styleId="-">
    <w:name w:val="Hyperlink"/>
    <w:rsid w:val="0065289a"/>
    <w:rPr>
      <w:color w:val="0000FF"/>
      <w:u w:val="single"/>
    </w:rPr>
  </w:style>
  <w:style w:type="character" w:styleId="Style13" w:customStyle="1">
    <w:name w:val="Раздел Знак"/>
    <w:link w:val="Style23"/>
    <w:qFormat/>
    <w:rsid w:val="009d6532"/>
    <w:rPr>
      <w:b/>
      <w:color w:val="000000"/>
      <w:sz w:val="24"/>
      <w:szCs w:val="24"/>
      <w:lang w:val="ru-RU" w:eastAsia="ru-RU" w:bidi="ar-SA"/>
    </w:rPr>
  </w:style>
  <w:style w:type="character" w:styleId="Style14" w:customStyle="1">
    <w:name w:val="Поле"/>
    <w:qFormat/>
    <w:rsid w:val="009d6532"/>
    <w:rPr>
      <w:rFonts w:ascii="Times New Roman" w:hAnsi="Times New Roman"/>
      <w:sz w:val="24"/>
      <w:u w:val="single"/>
    </w:rPr>
  </w:style>
  <w:style w:type="character" w:styleId="Style15" w:customStyle="1">
    <w:name w:val="Верхний колонтитул Знак"/>
    <w:qFormat/>
    <w:rsid w:val="000d0968"/>
    <w:rPr>
      <w:sz w:val="24"/>
    </w:rPr>
  </w:style>
  <w:style w:type="character" w:styleId="Style16" w:customStyle="1">
    <w:name w:val="Нижний колонтитул Знак"/>
    <w:uiPriority w:val="99"/>
    <w:qFormat/>
    <w:rsid w:val="000d0968"/>
    <w:rPr>
      <w:sz w:val="2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Astra Serif" w:hAnsi="PT Astra Serif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2" w:customStyle="1">
    <w:name w:val="Готовый"/>
    <w:basedOn w:val="Normal"/>
    <w:qFormat/>
    <w:rsid w:val="00dc0f74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</w:rPr>
  </w:style>
  <w:style w:type="paragraph" w:styleId="ConsPlusNonformat" w:customStyle="1">
    <w:name w:val="ConsPlusNonformat"/>
    <w:qFormat/>
    <w:rsid w:val="00e458f1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rsid w:val="009d6532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3" w:customStyle="1">
    <w:name w:val="Раздел"/>
    <w:basedOn w:val="Normal"/>
    <w:link w:val="Style13"/>
    <w:qFormat/>
    <w:rsid w:val="009d6532"/>
    <w:pPr>
      <w:spacing w:before="60" w:after="0"/>
    </w:pPr>
    <w:rPr>
      <w:b/>
      <w:color w:val="000000"/>
      <w:szCs w:val="24"/>
    </w:rPr>
  </w:style>
  <w:style w:type="paragraph" w:styleId="Style24" w:customStyle="1">
    <w:name w:val="Табличный"/>
    <w:basedOn w:val="Normal"/>
    <w:qFormat/>
    <w:rsid w:val="009d6532"/>
    <w:pPr>
      <w:jc w:val="center"/>
    </w:pPr>
    <w:rPr>
      <w:sz w:val="20"/>
    </w:rPr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link w:val="Style15"/>
    <w:rsid w:val="000d096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link w:val="Style16"/>
    <w:uiPriority w:val="99"/>
    <w:rsid w:val="000d0968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9647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0</TotalTime>
  <Application>LibreOffice/7.5.3.2$Linux_X86_64 LibreOffice_project/50$Build-2</Application>
  <AppVersion>15.0000</AppVersion>
  <Pages>5</Pages>
  <Words>404</Words>
  <Characters>3521</Characters>
  <CharactersWithSpaces>3831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2025-02-05T05:27:00Z</dcterms:created>
  <dc:creator>User</dc:creator>
  <dc:description/>
  <dc:language>ru-RU</dc:language>
  <cp:lastModifiedBy/>
  <dcterms:modified xsi:type="dcterms:W3CDTF">2025-04-08T13:29:48Z</dcterms:modified>
  <cp:revision>2</cp:revision>
  <dc:subject/>
  <dc:title>Перечень мероприятий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